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g" ContentType="image/jpeg"/>
  <Default Extension="psmdcp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abff8f657d4fde" /><Relationship Type="http://schemas.openxmlformats.org/package/2006/relationships/metadata/core-properties" Target="/package/services/metadata/core-properties/445ec1ae47b24ac090822c25c037b015.psmdcp" Id="Rceb3cabc392c44cb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2006/wordml" xmlns:wps="http://schemas.microsoft.com/office/word/2010/wordprocessingShape" mc:Ignorable="w14 w15 w16se wp14">
  <w:body>
    <w:p>
      <w:pPr>
        <w:autoSpaceDE w:val="false"/>
        <w:autoSpaceDN w:val="false"/>
        <w:wordWrap w:val="false"/>
        <w:spacing w:before="0" w:after="0" w:line="232" w:lineRule="auto"/>
        <w:ind/>
        <w:jc w:val="center"/>
        <w:rPr>
          <w:sz w:val="43"/>
        </w:rPr>
      </w:pPr>
      <w:r>
        <w:rPr>
          <w:rFonts w:hint="eastAsia" w:ascii="SimSun" w:hAnsi="SimSun" w:eastAsia="SimSun"/>
          <w:b/>
          <w:color w:val="000000"/>
          <w:sz w:val="43"/>
        </w:rPr>
        <w:t xml:space="preserve">秦皇岛市住房和城乡建设局</w:t>
      </w:r>
    </w:p>
    <w:p>
      <w:pPr>
        <w:autoSpaceDE w:val="false"/>
        <w:autoSpaceDN w:val="false"/>
        <w:wordWrap w:val="false"/>
        <w:spacing w:before="0" w:after="0" w:line="258" w:lineRule="auto"/>
        <w:ind/>
        <w:jc w:val="center"/>
        <w:rPr>
          <w:sz w:val="43"/>
        </w:rPr>
      </w:pPr>
      <w:r>
        <w:rPr>
          <w:rFonts w:hint="eastAsia" w:ascii="SimSun" w:hAnsi="SimSun" w:eastAsia="SimSun"/>
          <w:b/>
          <w:color w:val="000000"/>
          <w:sz w:val="43"/>
        </w:rPr>
        <w:t xml:space="preserve">行政处罚决定书</w:t>
      </w:r>
    </w:p>
    <w:p>
      <w:pPr>
        <w:autoSpaceDE w:val="false"/>
        <w:autoSpaceDN w:val="false"/>
        <w:spacing w:before="0" w:after="0" w:line="246" w:lineRule="auto"/>
        <w:ind w:firstLine="4560"/>
        <w:jc w:val="both"/>
        <w:rPr>
          <w:sz w:val="33"/>
        </w:rPr>
      </w:pPr>
      <w:r>
        <w:rPr>
          <w:rFonts w:hint="eastAsia" w:ascii="SimSun" w:hAnsi="SimSun" w:eastAsia="SimSun"/>
          <w:color w:val="000000"/>
          <w:sz w:val="33"/>
        </w:rPr>
        <w:t xml:space="preserve">秦建罚决字〔</w:t>
      </w:r>
      <w:r>
        <w:rPr>
          <w:rFonts w:hint="eastAsia" w:ascii="Calibri" w:hAnsi="Calibri" w:eastAsia="Calibri"/>
          <w:color w:val="000000"/>
          <w:sz w:val="33"/>
        </w:rPr>
        <w:t xml:space="preserve">2026</w:t>
      </w:r>
      <w:r>
        <w:rPr>
          <w:rFonts w:hint="eastAsia" w:ascii="SimSun" w:hAnsi="SimSun" w:eastAsia="SimSun"/>
          <w:color w:val="000000"/>
          <w:sz w:val="33"/>
        </w:rPr>
        <w:t xml:space="preserve">〕第</w:t>
      </w:r>
      <w:r>
        <w:rPr>
          <w:rFonts w:hint="eastAsia" w:ascii="Calibri" w:hAnsi="Calibri" w:eastAsia="Calibri"/>
          <w:color w:val="000000"/>
          <w:sz w:val="33"/>
        </w:rPr>
        <w:t xml:space="preserve">1</w:t>
      </w:r>
      <w:r>
        <w:rPr>
          <w:rFonts w:hint="eastAsia" w:ascii="SimSun" w:hAnsi="SimSun" w:eastAsia="SimSun"/>
          <w:color w:val="000000"/>
          <w:sz w:val="33"/>
        </w:rPr>
        <w:t xml:space="preserve">号</w:t>
      </w:r>
    </w:p>
    <w:p>
      <w:pPr>
        <w:autoSpaceDE w:val="false"/>
        <w:autoSpaceDN w:val="false"/>
        <w:wordWrap w:val="false"/>
        <w:spacing w:before="0" w:after="0" w:line="302" w:lineRule="auto"/>
        <w:ind w:firstLine="800"/>
        <w:jc w:val="both"/>
        <w:rPr>
          <w:sz w:val="33"/>
        </w:rPr>
      </w:pPr>
      <w:r>
        <w:rPr>
          <w:rFonts w:hint="eastAsia" w:ascii="SimSun" w:hAnsi="SimSun" w:eastAsia="SimSun"/>
          <w:color w:val="000000"/>
          <w:sz w:val="33"/>
        </w:rPr>
        <w:t xml:space="preserve">当事人：秦皇岛市新世纪房地产开发有限公司</w:t>
      </w:r>
    </w:p>
    <w:p>
      <w:pPr>
        <w:autoSpaceDE w:val="false"/>
        <w:autoSpaceDN w:val="false"/>
        <w:spacing w:before="0" w:after="0" w:line="325" w:lineRule="auto"/>
        <w:ind w:firstLine="800"/>
        <w:jc w:val="both"/>
        <w:rPr>
          <w:sz w:val="33"/>
        </w:rPr>
      </w:pPr>
      <w:r>
        <w:rPr>
          <w:rFonts w:hint="eastAsia" w:ascii="SimSun" w:hAnsi="SimSun" w:eastAsia="SimSun"/>
          <w:color w:val="000000"/>
          <w:sz w:val="33"/>
        </w:rPr>
        <w:t xml:space="preserve">统一社会信用代码</w:t>
      </w:r>
      <w:r>
        <w:rPr>
          <w:rFonts w:hint="eastAsia" w:ascii="Calibri" w:hAnsi="Calibri" w:eastAsia="Calibri"/>
          <w:color w:val="000000"/>
          <w:sz w:val="33"/>
        </w:rPr>
        <w:t xml:space="preserve">：91130xxxxxxxxx051Y</w:t>
      </w:r>
    </w:p>
    <w:p>
      <w:pPr>
        <w:autoSpaceDE w:val="false"/>
        <w:autoSpaceDN w:val="false"/>
        <w:wordWrap w:val="false"/>
        <w:tabs>
          <w:tab w:val="left" w:leader="none" w:pos="2080"/>
        </w:tabs>
        <w:spacing w:before="0" w:after="0" w:line="314" w:lineRule="auto"/>
        <w:ind w:firstLine="800"/>
        <w:jc w:val="both"/>
        <w:rPr>
          <w:sz w:val="33"/>
        </w:rPr>
      </w:pPr>
      <w:r>
        <w:rPr>
          <w:rFonts w:hint="eastAsia" w:ascii="SimSun" w:hAnsi="SimSun" w:eastAsia="SimSun"/>
          <w:color w:val="000000"/>
          <w:sz w:val="33"/>
        </w:rPr>
        <w:t xml:space="preserve">地</w:t>
      </w:r>
      <w:r>
        <w:rPr>
          <w:rFonts w:hint="eastAsia" w:ascii="SimSun" w:hAnsi="SimSun" w:eastAsia="SimSun"/>
          <w:color w:val="000000"/>
          <w:sz w:val="33"/>
        </w:rPr>
        <w:tab/>
      </w:r>
      <w:r>
        <w:rPr>
          <w:rFonts w:hint="eastAsia" w:ascii="SimSun" w:hAnsi="SimSun" w:eastAsia="SimSun"/>
          <w:color w:val="000000"/>
          <w:sz w:val="33"/>
        </w:rPr>
        <w:t xml:space="preserve">址：秦皇岛市海港区西港镇倪庄新村</w:t>
      </w:r>
      <w:r>
        <w:rPr>
          <w:rFonts w:hint="eastAsia" w:ascii="Calibri" w:hAnsi="Calibri" w:eastAsia="Calibri"/>
          <w:color w:val="000000"/>
          <w:sz w:val="33"/>
        </w:rPr>
        <w:t xml:space="preserve">12</w:t>
      </w:r>
      <w:r>
        <w:rPr>
          <w:rFonts w:hint="eastAsia" w:ascii="SimSun" w:hAnsi="SimSun" w:eastAsia="SimSun"/>
          <w:color w:val="000000"/>
          <w:sz w:val="33"/>
        </w:rPr>
        <w:t xml:space="preserve">栋二层</w:t>
      </w:r>
    </w:p>
    <w:p>
      <w:pPr>
        <w:autoSpaceDE w:val="false"/>
        <w:autoSpaceDN w:val="false"/>
        <w:wordWrap w:val="false"/>
        <w:spacing w:before="0" w:after="0" w:line="318" w:lineRule="auto"/>
        <w:ind w:right="100" w:firstLine="760"/>
        <w:jc w:val="both"/>
        <w:rPr>
          <w:sz w:val="33"/>
        </w:rPr>
      </w:pPr>
      <w:r>
        <w:rPr>
          <w:rFonts w:hint="eastAsia" w:ascii="SimSun" w:hAnsi="SimSun" w:eastAsia="SimSun"/>
          <w:color w:val="000000"/>
          <w:sz w:val="33"/>
        </w:rPr>
        <w:t xml:space="preserve">经查明，你单位投资建设的秦皇壹号工程位于规划法云寺西</w:t>
      </w:r>
      <w:r>
        <w:rPr>
          <w:rFonts w:hint="eastAsia" w:ascii="SimSun" w:hAnsi="SimSun" w:eastAsia="SimSun"/>
          <w:color w:val="000000"/>
          <w:sz w:val="33"/>
        </w:rPr>
        <w:t xml:space="preserve">路以东、规划一路以南，施工总承包单位是秦皇岛市三信建筑安</w:t>
      </w:r>
      <w:r>
        <w:rPr>
          <w:rFonts w:hint="eastAsia" w:ascii="SimSun" w:hAnsi="SimSun" w:eastAsia="SimSun"/>
          <w:color w:val="000000"/>
          <w:sz w:val="33"/>
        </w:rPr>
        <w:t xml:space="preserve">装工程有限公司，你单位将电梯工程肢解发包给朗嘉电梯工程有</w:t>
      </w:r>
      <w:r>
        <w:rPr>
          <w:rFonts w:hint="eastAsia" w:ascii="SimSun" w:hAnsi="SimSun" w:eastAsia="SimSun"/>
          <w:color w:val="000000"/>
          <w:sz w:val="33"/>
        </w:rPr>
        <w:t xml:space="preserve">限公司（一期）、秦皇岛博林电梯工程有限公司（二期），上述事</w:t>
      </w:r>
      <w:r>
        <w:rPr>
          <w:rFonts w:hint="eastAsia" w:ascii="SimSun" w:hAnsi="SimSun" w:eastAsia="SimSun"/>
          <w:color w:val="000000"/>
          <w:sz w:val="33"/>
        </w:rPr>
        <w:t xml:space="preserve">实以现场检查记录；调查笔录；你单位提供的相关资料；行政执</w:t>
      </w:r>
      <w:r>
        <w:rPr>
          <w:rFonts w:hint="eastAsia" w:ascii="SimSun" w:hAnsi="SimSun" w:eastAsia="SimSun"/>
          <w:color w:val="000000"/>
          <w:sz w:val="33"/>
        </w:rPr>
        <w:t xml:space="preserve">法相关影音、图像等资料等为证据，其行为已违反《中华人民共</w:t>
      </w:r>
      <w:r>
        <w:rPr>
          <w:rFonts w:hint="eastAsia" w:ascii="SimSun" w:hAnsi="SimSun" w:eastAsia="SimSun"/>
          <w:color w:val="000000"/>
          <w:sz w:val="33"/>
        </w:rPr>
        <w:t xml:space="preserve">和国建筑法》第二十四条的规定。</w:t>
      </w:r>
    </w:p>
    <w:p>
      <w:pPr>
        <w:autoSpaceDE w:val="false"/>
        <w:autoSpaceDN w:val="false"/>
        <w:wordWrap w:val="false"/>
        <w:spacing w:before="0" w:after="0" w:line="344" w:lineRule="auto"/>
        <w:ind w:right="100" w:firstLine="760"/>
        <w:jc w:val="both"/>
        <w:rPr>
          <w:sz w:val="33"/>
        </w:rPr>
      </w:pPr>
      <w:r>
        <w:rPr>
          <w:rFonts w:hint="eastAsia" w:ascii="Calibri" w:hAnsi="Calibri" w:eastAsia="Calibri"/>
          <w:color w:val="000000"/>
          <w:sz w:val="33"/>
        </w:rPr>
        <w:t xml:space="preserve">2026</w:t>
      </w:r>
      <w:r>
        <w:rPr>
          <w:rFonts w:hint="eastAsia" w:ascii="SimSun" w:hAnsi="SimSun" w:eastAsia="SimSun"/>
          <w:color w:val="000000"/>
          <w:sz w:val="33"/>
        </w:rPr>
        <w:t xml:space="preserve">年</w:t>
      </w:r>
      <w:r>
        <w:rPr>
          <w:rFonts w:hint="eastAsia" w:ascii="Calibri" w:hAnsi="Calibri" w:eastAsia="Calibri"/>
          <w:color w:val="000000"/>
          <w:sz w:val="33"/>
        </w:rPr>
        <w:t xml:space="preserve">1</w:t>
      </w:r>
      <w:r>
        <w:rPr>
          <w:rFonts w:hint="eastAsia" w:ascii="SimSun" w:hAnsi="SimSun" w:eastAsia="SimSun"/>
          <w:color w:val="000000"/>
          <w:sz w:val="33"/>
        </w:rPr>
        <w:t xml:space="preserve">月</w:t>
      </w:r>
      <w:r>
        <w:rPr>
          <w:rFonts w:hint="eastAsia" w:ascii="Calibri" w:hAnsi="Calibri" w:eastAsia="Calibri"/>
          <w:color w:val="000000"/>
          <w:sz w:val="33"/>
        </w:rPr>
        <w:t xml:space="preserve">4</w:t>
      </w:r>
      <w:r>
        <w:rPr>
          <w:rFonts w:hint="eastAsia" w:ascii="SimSun" w:hAnsi="SimSun" w:eastAsia="SimSun"/>
          <w:color w:val="000000"/>
          <w:sz w:val="33"/>
        </w:rPr>
        <w:t xml:space="preserve">日，本机关向你单位下达《行政处罚事先告知</w:t>
      </w:r>
      <w:r>
        <w:rPr>
          <w:rFonts w:hint="eastAsia" w:ascii="SimSun" w:hAnsi="SimSun" w:eastAsia="SimSun"/>
          <w:color w:val="000000"/>
          <w:sz w:val="33"/>
        </w:rPr>
        <w:t xml:space="preserve">书》（秦住建罚先告字〔</w:t>
      </w:r>
      <w:r>
        <w:rPr>
          <w:rFonts w:hint="eastAsia" w:ascii="Calibri" w:hAnsi="Calibri" w:eastAsia="Calibri"/>
          <w:color w:val="000000"/>
          <w:sz w:val="33"/>
        </w:rPr>
        <w:t xml:space="preserve">2025</w:t>
      </w:r>
      <w:r>
        <w:rPr>
          <w:rFonts w:hint="eastAsia" w:ascii="SimSun" w:hAnsi="SimSun" w:eastAsia="SimSun"/>
          <w:color w:val="000000"/>
          <w:sz w:val="33"/>
        </w:rPr>
        <w:t xml:space="preserve">〕第</w:t>
      </w:r>
      <w:r>
        <w:rPr>
          <w:rFonts w:hint="eastAsia" w:ascii="Calibri" w:hAnsi="Calibri" w:eastAsia="Calibri"/>
          <w:color w:val="000000"/>
          <w:sz w:val="33"/>
        </w:rPr>
        <w:t xml:space="preserve">23</w:t>
      </w:r>
      <w:r>
        <w:rPr>
          <w:rFonts w:hint="eastAsia" w:ascii="SimSun" w:hAnsi="SimSun" w:eastAsia="SimSun"/>
          <w:color w:val="000000"/>
          <w:sz w:val="33"/>
        </w:rPr>
        <w:t xml:space="preserve">号）和《行政处罚听证告知</w:t>
      </w:r>
      <w:r>
        <w:rPr>
          <w:rFonts w:hint="eastAsia" w:ascii="SimSun" w:hAnsi="SimSun" w:eastAsia="SimSun"/>
          <w:color w:val="000000"/>
          <w:sz w:val="33"/>
        </w:rPr>
        <w:t xml:space="preserve">书》（秦住建罚听告字〔</w:t>
      </w:r>
      <w:r>
        <w:rPr>
          <w:rFonts w:hint="eastAsia" w:ascii="Calibri" w:hAnsi="Calibri" w:eastAsia="Calibri"/>
          <w:color w:val="000000"/>
          <w:sz w:val="33"/>
        </w:rPr>
        <w:t xml:space="preserve">2025</w:t>
      </w:r>
      <w:r>
        <w:rPr>
          <w:rFonts w:hint="eastAsia" w:ascii="SimSun" w:hAnsi="SimSun" w:eastAsia="SimSun"/>
          <w:color w:val="000000"/>
          <w:sz w:val="33"/>
        </w:rPr>
        <w:t xml:space="preserve">〕第</w:t>
      </w:r>
      <w:r>
        <w:rPr>
          <w:rFonts w:hint="eastAsia" w:ascii="Calibri" w:hAnsi="Calibri" w:eastAsia="Calibri"/>
          <w:color w:val="000000"/>
          <w:sz w:val="33"/>
        </w:rPr>
        <w:t xml:space="preserve">23</w:t>
      </w:r>
      <w:r>
        <w:rPr>
          <w:rFonts w:hint="eastAsia" w:ascii="SimSun" w:hAnsi="SimSun" w:eastAsia="SimSun"/>
          <w:color w:val="000000"/>
          <w:sz w:val="33"/>
        </w:rPr>
        <w:t xml:space="preserve">号），你单位在规定期限内未</w:t>
      </w:r>
      <w:r>
        <w:rPr>
          <w:rFonts w:hint="eastAsia" w:ascii="SimSun" w:hAnsi="SimSun" w:eastAsia="SimSun"/>
          <w:color w:val="000000"/>
          <w:sz w:val="33"/>
        </w:rPr>
        <w:t xml:space="preserve">提出陈述、申辩以及听证的请求。</w:t>
      </w:r>
    </w:p>
    <w:p>
      <w:pPr>
        <w:autoSpaceDE w:val="false"/>
        <w:autoSpaceDN w:val="false"/>
        <w:wordWrap w:val="false"/>
        <w:spacing w:before="0" w:after="0" w:line="340" w:lineRule="auto"/>
        <w:ind w:right="100" w:firstLine="760"/>
        <w:jc w:val="both"/>
        <w:rPr>
          <w:sz w:val="33"/>
        </w:rPr>
      </w:pPr>
      <w:r>
        <w:rPr>
          <w:rFonts w:hint="eastAsia" w:ascii="SimSun" w:hAnsi="SimSun" w:eastAsia="SimSun"/>
          <w:color w:val="000000"/>
          <w:sz w:val="33"/>
        </w:rPr>
        <w:t xml:space="preserve">依据《中华人民共和国建筑法》第二十四条及《河北省住房</w:t>
      </w:r>
      <w:r>
        <w:rPr>
          <w:rFonts w:hint="eastAsia" w:ascii="SimSun" w:hAnsi="SimSun" w:eastAsia="SimSun"/>
          <w:color w:val="000000"/>
          <w:sz w:val="33"/>
        </w:rPr>
        <w:t xml:space="preserve">和城乡建设系统行政处罚裁量权基准》第二项的规定。本机关决</w:t>
      </w:r>
      <w:r>
        <w:rPr>
          <w:rFonts w:hint="eastAsia" w:ascii="SimSun" w:hAnsi="SimSun" w:eastAsia="SimSun"/>
          <w:color w:val="000000"/>
          <w:sz w:val="33"/>
        </w:rPr>
        <w:t xml:space="preserve">定给予你单位以下行政处罚：</w:t>
      </w:r>
    </w:p>
    <w:p>
      <w:pPr>
        <w:autoSpaceDE w:val="false"/>
        <w:autoSpaceDN w:val="false"/>
        <w:wordWrap w:val="false"/>
        <w:spacing w:before="0" w:after="0" w:line="358" w:lineRule="auto"/>
        <w:ind/>
        <w:jc w:val="center"/>
        <w:rPr>
          <w:sz w:val="33"/>
        </w:rPr>
        <w:sectPr>
          <w:type w:val="continuous"/>
          <w:pgSz w:w="11900" w:h="16000" w:orient="portrait"/>
          <w:pgMar w:top="2160" w:right="1200" w:bottom="1680" w:left="1200" w:header="1080" w:footer="840"/>
          <w:cols w:equalWidth="true" w:num="1"/>
        </w:sectPr>
      </w:pPr>
      <w:r>
        <w:rPr>
          <w:rFonts w:hint="eastAsia" w:ascii="SimSun" w:hAnsi="SimSun" w:eastAsia="SimSun"/>
          <w:color w:val="000000"/>
          <w:sz w:val="33"/>
        </w:rPr>
        <w:t xml:space="preserve">处以罚款肆万捌仟玖佰壹拾壹元俩角伍分的行政处罚。</w:t>
      </w:r>
    </w:p>
    <w:p>
      <w:pPr>
        <w:autoSpaceDE w:val="false"/>
        <w:autoSpaceDN w:val="false"/>
        <w:wordWrap w:val="false"/>
        <w:spacing w:before="0" w:after="0" w:line="285" w:lineRule="auto"/>
        <w:ind w:left="412" w:firstLine="740"/>
        <w:jc w:val="both"/>
        <w:rPr>
          <w:sz w:val="34"/>
        </w:rPr>
      </w:pPr>
      <w:r>
        <w:rPr>
          <w:rFonts w:hint="eastAsia" w:ascii="SimSun" w:hAnsi="SimSun" w:eastAsia="SimSun"/>
          <w:color w:val="000000"/>
          <w:sz w:val="34"/>
        </w:rPr>
        <w:t xml:space="preserve">上述罚款，你单位应当自收到本处罚决定书之日起</w:t>
      </w:r>
      <w:r>
        <w:rPr>
          <w:rFonts w:hint="eastAsia" w:ascii="Calibri" w:hAnsi="Calibri" w:eastAsia="Calibri"/>
          <w:color w:val="000000"/>
          <w:sz w:val="34"/>
        </w:rPr>
        <w:t xml:space="preserve">15</w:t>
      </w:r>
      <w:r>
        <w:rPr>
          <w:rFonts w:hint="eastAsia" w:ascii="SimSun" w:hAnsi="SimSun" w:eastAsia="SimSun"/>
          <w:color w:val="000000"/>
          <w:sz w:val="34"/>
        </w:rPr>
        <w:t xml:space="preserve">日内，</w:t>
      </w:r>
      <w:r>
        <w:rPr>
          <w:rFonts w:hint="eastAsia" w:ascii="SimSun" w:hAnsi="SimSun" w:eastAsia="SimSun"/>
          <w:color w:val="000000"/>
          <w:sz w:val="34"/>
        </w:rPr>
        <w:t xml:space="preserve">持本决定书，到指定银行秦皇岛银行（金财支行）,（地址：秦皇</w:t>
      </w:r>
      <w:r>
        <w:rPr>
          <w:rFonts w:hint="eastAsia" w:ascii="SimSun" w:hAnsi="SimSun" w:eastAsia="SimSun"/>
          <w:color w:val="000000"/>
          <w:sz w:val="34"/>
        </w:rPr>
        <w:t xml:space="preserve">岛市海港区华山中路</w:t>
      </w:r>
      <w:r>
        <w:rPr>
          <w:rFonts w:hint="eastAsia" w:ascii="Calibri" w:hAnsi="Calibri" w:eastAsia="Calibri"/>
          <w:color w:val="000000"/>
          <w:sz w:val="34"/>
        </w:rPr>
        <w:t xml:space="preserve">2</w:t>
      </w:r>
      <w:r>
        <w:rPr>
          <w:rFonts w:hint="eastAsia" w:ascii="SimSun" w:hAnsi="SimSun" w:eastAsia="SimSun"/>
          <w:color w:val="000000"/>
          <w:sz w:val="34"/>
        </w:rPr>
        <w:t xml:space="preserve">号</w:t>
      </w:r>
      <w:r>
        <w:rPr>
          <w:rFonts w:hint="eastAsia" w:ascii="Calibri" w:hAnsi="Calibri" w:eastAsia="Calibri"/>
          <w:color w:val="000000"/>
          <w:sz w:val="34"/>
        </w:rPr>
        <w:t xml:space="preserve">、</w:t>
      </w:r>
      <w:r>
        <w:rPr>
          <w:rFonts w:hint="eastAsia" w:ascii="SimSun" w:hAnsi="SimSun" w:eastAsia="SimSun"/>
          <w:color w:val="000000"/>
          <w:sz w:val="34"/>
        </w:rPr>
        <w:t xml:space="preserve">财政局账号</w:t>
      </w:r>
      <w:r>
        <w:rPr>
          <w:rFonts w:hint="eastAsia" w:ascii="Calibri" w:hAnsi="Calibri" w:eastAsia="Calibri"/>
          <w:color w:val="000000"/>
          <w:sz w:val="34"/>
        </w:rPr>
        <w:t xml:space="preserve">：634013010000002150）</w:t>
      </w:r>
      <w:r>
        <w:rPr>
          <w:rFonts w:hint="eastAsia" w:ascii="SimSun" w:hAnsi="SimSun" w:eastAsia="SimSun"/>
          <w:color w:val="000000"/>
          <w:sz w:val="34"/>
        </w:rPr>
        <w:t xml:space="preserve">缴纳，秦皇岛市住房和城乡建设局罚没许可证：</w:t>
      </w:r>
      <w:r>
        <w:rPr>
          <w:rFonts w:hint="eastAsia" w:ascii="Calibri" w:hAnsi="Calibri" w:eastAsia="Calibri"/>
          <w:color w:val="000000"/>
          <w:sz w:val="34"/>
        </w:rPr>
        <w:t xml:space="preserve">07000036</w:t>
      </w:r>
      <w:r>
        <w:rPr>
          <w:rFonts w:hint="eastAsia" w:ascii="SimSun" w:hAnsi="SimSun" w:eastAsia="SimSun"/>
          <w:color w:val="000000"/>
          <w:sz w:val="34"/>
        </w:rPr>
        <w:t xml:space="preserve">号。</w:t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3937000</wp:posOffset>
            </wp:positionH>
            <wp:positionV relativeFrom="page">
              <wp:posOffset>6477000</wp:posOffset>
            </wp:positionV>
            <wp:extent cx="1879600" cy="1866900"/>
            <wp:effectExtent l="0" t="0" r="2540" b="4445"/>
            <wp:wrapNone/>
            <wp:docPr id="2" name="STA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675c8628fdb24e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96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autoSpaceDE w:val="false"/>
        <w:autoSpaceDN w:val="false"/>
        <w:wordWrap w:val="false"/>
        <w:spacing w:before="0" w:after="0" w:line="327" w:lineRule="auto"/>
        <w:ind w:left="480" w:right="20" w:firstLine="760"/>
        <w:jc w:val="both"/>
        <w:rPr>
          <w:sz w:val="34"/>
        </w:rPr>
      </w:pPr>
      <w:r>
        <w:rPr>
          <w:rFonts w:hint="eastAsia" w:ascii="SimSun" w:hAnsi="SimSun" w:eastAsia="SimSun"/>
          <w:color w:val="000000"/>
          <w:sz w:val="34"/>
        </w:rPr>
        <w:t xml:space="preserve">逾期不缴纳罚款的，本机关将根据《中华人民共和国行政处</w:t>
      </w:r>
      <w:r>
        <w:rPr>
          <w:rFonts w:hint="eastAsia" w:ascii="SimSun" w:hAnsi="SimSun" w:eastAsia="SimSun"/>
          <w:color w:val="000000"/>
          <w:sz w:val="34"/>
        </w:rPr>
        <w:t xml:space="preserve">罚法》第七十二条的规定，每日按罚款数额的百分之三加处罚款。</w:t>
      </w:r>
      <w:r>
        <w:rPr>
          <w:rFonts w:hint="eastAsia" w:ascii="SimSun" w:hAnsi="SimSun" w:eastAsia="SimSun"/>
          <w:color w:val="000000"/>
          <w:sz w:val="34"/>
        </w:rPr>
        <w:t xml:space="preserve">如不服本处罚决定，可以在收到本决定书之日起</w:t>
      </w:r>
      <w:r>
        <w:rPr>
          <w:rFonts w:hint="eastAsia" w:ascii="Calibri" w:hAnsi="Calibri" w:eastAsia="Calibri"/>
          <w:color w:val="000000"/>
          <w:sz w:val="34"/>
        </w:rPr>
        <w:t xml:space="preserve">60</w:t>
      </w:r>
      <w:r>
        <w:rPr>
          <w:rFonts w:hint="eastAsia" w:ascii="SimSun" w:hAnsi="SimSun" w:eastAsia="SimSun"/>
          <w:color w:val="000000"/>
          <w:sz w:val="34"/>
        </w:rPr>
        <w:t xml:space="preserve">日内向秦皇岛</w:t>
      </w:r>
      <w:r>
        <w:rPr>
          <w:rFonts w:hint="eastAsia" w:ascii="SimSun" w:hAnsi="SimSun" w:eastAsia="SimSun"/>
          <w:color w:val="000000"/>
          <w:sz w:val="34"/>
        </w:rPr>
        <w:t xml:space="preserve">市人民政府申请行政复议；也可以在收到本决定书之日起</w:t>
      </w:r>
      <w:r>
        <w:rPr>
          <w:rFonts w:hint="eastAsia" w:ascii="Calibri" w:hAnsi="Calibri" w:eastAsia="Calibri"/>
          <w:color w:val="000000"/>
          <w:sz w:val="34"/>
        </w:rPr>
        <w:t xml:space="preserve">6</w:t>
      </w:r>
      <w:r>
        <w:rPr>
          <w:rFonts w:hint="eastAsia" w:ascii="SimSun" w:hAnsi="SimSun" w:eastAsia="SimSun"/>
          <w:color w:val="000000"/>
          <w:sz w:val="34"/>
        </w:rPr>
        <w:t xml:space="preserve">个月</w:t>
      </w:r>
      <w:r>
        <w:rPr>
          <w:rFonts w:hint="eastAsia" w:ascii="SimSun" w:hAnsi="SimSun" w:eastAsia="SimSun"/>
          <w:color w:val="000000"/>
          <w:sz w:val="34"/>
        </w:rPr>
        <w:t xml:space="preserve">内直接向秦皇市海港区人民法院提起行政诉讼，但本决定不停止</w:t>
      </w:r>
      <w:r>
        <w:rPr>
          <w:rFonts w:hint="eastAsia" w:ascii="SimSun" w:hAnsi="SimSun" w:eastAsia="SimSun"/>
          <w:color w:val="000000"/>
          <w:sz w:val="34"/>
        </w:rPr>
        <w:t xml:space="preserve">执行，法律另有规定的除外。逾期不申请行政复议、不提起行政</w:t>
      </w:r>
      <w:r>
        <w:rPr>
          <w:rFonts w:hint="eastAsia" w:ascii="SimSun" w:hAnsi="SimSun" w:eastAsia="SimSun"/>
          <w:color w:val="000000"/>
          <w:sz w:val="34"/>
        </w:rPr>
        <w:t xml:space="preserve">诉讼又不履行的，本机关将依法申请人民法院强制执行或依照有</w:t>
      </w:r>
      <w:r>
        <w:rPr>
          <w:rFonts w:hint="eastAsia" w:ascii="SimSun" w:hAnsi="SimSun" w:eastAsia="SimSun"/>
          <w:color w:val="000000"/>
          <w:sz w:val="34"/>
        </w:rPr>
        <w:t xml:space="preserve">关规定强制执行。</w:t>
      </w:r>
    </w:p>
    <w:p>
      <w:pPr>
        <w:autoSpaceDE w:val="false"/>
        <w:autoSpaceDN w:val="false"/>
        <w:wordWrap w:val="false"/>
        <w:spacing w:before="0" w:after="0" w:line="239" w:lineRule="auto"/>
        <w:ind w:firstLine="0"/>
        <w:jc w:val="both"/>
        <w:rPr>
          <w:sz w:val="34"/>
        </w:rPr>
        <w:rPr>
          <w:rFonts w:hint="eastAsia" w:ascii="SimSun" w:hAnsi="SimSun" w:eastAsia="SimSun"/>
          <w:color w:val="000000"/>
          <w:sz w:val="34"/>
        </w:rPr>
      </w:pPr>
    </w:p>
    <w:p>
      <w:pPr>
        <w:autoSpaceDE w:val="false"/>
        <w:autoSpaceDN w:val="false"/>
        <w:wordWrap w:val="false"/>
        <w:spacing w:before="0" w:after="0" w:line="239" w:lineRule="auto"/>
        <w:ind w:firstLine="0"/>
        <w:jc w:val="both"/>
        <w:rPr>
          <w:sz w:val="34"/>
        </w:rPr>
        <w:rPr>
          <w:rFonts w:hint="eastAsia" w:ascii="SimSun" w:hAnsi="SimSun" w:eastAsia="SimSun"/>
          <w:color w:val="000000"/>
          <w:sz w:val="34"/>
        </w:rPr>
      </w:pPr>
    </w:p>
    <w:p>
      <w:pPr>
        <w:autoSpaceDE w:val="false"/>
        <w:autoSpaceDN w:val="false"/>
        <w:wordWrap w:val="false"/>
        <w:spacing w:before="0" w:after="0" w:line="239" w:lineRule="auto"/>
        <w:ind w:firstLine="0"/>
        <w:jc w:val="both"/>
        <w:rPr>
          <w:sz w:val="34"/>
        </w:rPr>
        <w:rPr>
          <w:rFonts w:hint="eastAsia" w:ascii="SimSun" w:hAnsi="SimSun" w:eastAsia="SimSun"/>
          <w:color w:val="000000"/>
          <w:sz w:val="34"/>
        </w:rPr>
      </w:pPr>
    </w:p>
    <w:p>
      <w:pPr>
        <w:autoSpaceDE w:val="false"/>
        <w:autoSpaceDN w:val="false"/>
        <w:wordWrap w:val="false"/>
        <w:spacing w:before="0" w:after="0" w:line="239" w:lineRule="auto"/>
        <w:ind w:firstLine="0"/>
        <w:jc w:val="both"/>
        <w:rPr>
          <w:sz w:val="34"/>
        </w:rPr>
        <w:rPr>
          <w:rFonts w:hint="eastAsia" w:ascii="SimSun" w:hAnsi="SimSun" w:eastAsia="SimSun"/>
          <w:color w:val="000000"/>
          <w:sz w:val="34"/>
        </w:rPr>
      </w:pPr>
    </w:p>
    <w:p>
      <w:pPr>
        <w:autoSpaceDE w:val="false"/>
        <w:autoSpaceDN w:val="false"/>
        <w:wordWrap w:val="false"/>
        <w:spacing w:before="0" w:after="0" w:line="239" w:lineRule="auto"/>
        <w:ind w:firstLine="0"/>
        <w:jc w:val="both"/>
        <w:rPr>
          <w:sz w:val="34"/>
        </w:rPr>
        <w:rPr>
          <w:rFonts w:hint="eastAsia" w:ascii="SimSun" w:hAnsi="SimSun" w:eastAsia="SimSun"/>
          <w:color w:val="000000"/>
          <w:sz w:val="34"/>
        </w:rPr>
      </w:pPr>
    </w:p>
    <w:p>
      <w:pPr>
        <w:autoSpaceDE w:val="false"/>
        <w:autoSpaceDN w:val="false"/>
        <w:wordWrap w:val="false"/>
        <w:spacing w:before="0" w:after="0" w:line="258" w:lineRule="auto"/>
        <w:ind w:firstLine="4320"/>
        <w:jc w:val="both"/>
        <w:rPr>
          <w:sz w:val="34"/>
        </w:rPr>
      </w:pPr>
      <w:r>
        <w:rPr>
          <w:rFonts w:hint="eastAsia" w:ascii="SimSun" w:hAnsi="SimSun" w:eastAsia="SimSun"/>
          <w:color w:val="000000"/>
          <w:sz w:val="34"/>
        </w:rPr>
        <w:t xml:space="preserve">秦皇岛市住房和城乡建设局</w:t>
      </w:r>
    </w:p>
    <w:p>
      <w:pPr>
        <w:autoSpaceDE w:val="false"/>
        <w:autoSpaceDN w:val="false"/>
        <w:spacing w:before="0" w:after="0" w:line="240" w:lineRule="auto"/>
        <w:ind w:firstLine="4820"/>
        <w:jc w:val="both"/>
        <w:rPr>
          <w:sz w:val="34"/>
        </w:rPr>
      </w:pPr>
      <w:r>
        <w:drawing>
          <wp:inline distT="0" distB="0" distL="0" distR="0" wp14:editId="50D07946">
            <wp:extent cx="457200" cy="304800"/>
            <wp:effectExtent l="0" t="0" r="0" b="0"/>
            <wp:docPr id="3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New Bitmap Image.jpg"/>
                    <pic:cNvPicPr/>
                  </pic:nvPicPr>
                  <pic:blipFill>
                    <a:blip r:embed="R2be6a6fa66e14f2d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4572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 wp14:editId="50D07946">
            <wp:extent cx="114300" cy="304800"/>
            <wp:effectExtent l="0" t="0" r="0" b="0"/>
            <wp:docPr id="4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New Bitmap Image.jpg"/>
                    <pic:cNvPicPr/>
                  </pic:nvPicPr>
                  <pic:blipFill>
                    <a:blip r:embed="Rd7b53674317e4e1d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1143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Calibri" w:hAnsi="Calibri" w:eastAsia="Calibri"/>
          <w:color w:val="000000"/>
          <w:sz w:val="34"/>
        </w:rPr>
        <w:t xml:space="preserve">  2</w:t>
      </w:r>
      <w:r>
        <w:rPr>
          <w:rFonts w:hint="eastAsia" w:ascii="SimSun" w:hAnsi="SimSun" w:eastAsia="SimSun"/>
          <w:color w:val="000000"/>
          <w:sz w:val="34"/>
        </w:rPr>
        <w:t xml:space="preserve">月</w:t>
      </w:r>
      <w:r>
        <w:rPr>
          <w:rFonts w:hint="eastAsia" w:ascii="Calibri" w:hAnsi="Calibri" w:eastAsia="Calibri"/>
          <w:color w:val="000000"/>
          <w:sz w:val="34"/>
        </w:rPr>
        <w:t xml:space="preserve">12</w:t>
      </w:r>
      <w:r>
        <w:rPr>
          <w:rFonts w:hint="eastAsia" w:ascii="SimSun" w:hAnsi="SimSun" w:eastAsia="SimSun"/>
          <w:color w:val="000000"/>
          <w:sz w:val="34"/>
        </w:rPr>
        <w:t xml:space="preserve">日</w:t>
      </w:r>
    </w:p>
    <w:p>
      <w:pPr>
        <w:autoSpaceDE w:val="false"/>
        <w:autoSpaceDN w:val="false"/>
        <w:wordWrap w:val="false"/>
        <w:spacing w:before="0" w:after="0" w:line="239" w:lineRule="auto"/>
        <w:ind w:firstLine="0"/>
        <w:jc w:val="both"/>
        <w:rPr>
          <w:sz w:val="34"/>
        </w:rPr>
        <w:rPr>
          <w:rFonts w:hint="eastAsia" w:ascii="SimSun" w:hAnsi="SimSun" w:eastAsia="SimSun"/>
          <w:color w:val="000000"/>
          <w:sz w:val="34"/>
        </w:rPr>
      </w:pPr>
    </w:p>
    <w:p>
      <w:pPr>
        <w:autoSpaceDE w:val="false"/>
        <w:autoSpaceDN w:val="false"/>
        <w:wordWrap w:val="false"/>
        <w:tabs>
          <w:tab w:val="left" w:leader="none" w:pos="4780"/>
        </w:tabs>
        <w:spacing w:before="0" w:after="0" w:line="240" w:lineRule="auto"/>
        <w:ind w:firstLine="0"/>
        <w:jc w:val="both"/>
        <w:rPr>
          <w:sz w:val="34"/>
        </w:rPr>
      </w:pPr>
      <w:r>
        <w:rPr>
          <w:rFonts w:hint="eastAsia" w:ascii="SimSun" w:hAnsi="SimSun" w:eastAsia="SimSun"/>
          <w:color w:val="000000"/>
          <w:sz w:val="34"/>
        </w:rPr>
        <w:t xml:space="preserve">收件人：</w:t>
      </w:r>
      <w:r>
        <w:drawing>
          <wp:inline distT="0" distB="0" distL="0" distR="0" wp14:editId="50D07946">
            <wp:extent cx="1663700" cy="406400"/>
            <wp:effectExtent l="0" t="0" r="0" b="0"/>
            <wp:docPr id="5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" name="New Bitmap Image.jpg"/>
                    <pic:cNvPicPr/>
                  </pic:nvPicPr>
                  <pic:blipFill>
                    <a:blip r:embed="R6f34f3baf1c64510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16637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SimSun" w:hAnsi="SimSun" w:eastAsia="SimSun"/>
          <w:color w:val="000000"/>
          <w:sz w:val="34"/>
        </w:rPr>
        <w:tab/>
      </w:r>
      <w:r>
        <w:rPr>
          <w:rFonts w:hint="eastAsia" w:ascii="SimSun" w:hAnsi="SimSun" w:eastAsia="SimSun"/>
          <w:color w:val="000000"/>
          <w:sz w:val="34"/>
        </w:rPr>
        <w:t xml:space="preserve">联系地址：</w:t>
      </w:r>
    </w:p>
    <w:p>
      <w:pPr>
        <w:autoSpaceDE w:val="false"/>
        <w:autoSpaceDN w:val="false"/>
        <w:tabs>
          <w:tab w:val="left" w:leader="none" w:pos="4780"/>
        </w:tabs>
        <w:spacing w:before="0" w:after="0" w:line="240" w:lineRule="auto"/>
        <w:ind w:firstLine="0"/>
        <w:jc w:val="both"/>
        <w:rPr>
          <w:sz w:val="34"/>
        </w:rPr>
      </w:pPr>
      <w:r>
        <w:rPr>
          <w:rFonts w:hint="eastAsia" w:ascii="SimSun" w:hAnsi="SimSun" w:eastAsia="SimSun"/>
          <w:color w:val="000000"/>
          <w:sz w:val="34"/>
        </w:rPr>
        <w:t xml:space="preserve">联系电话：</w:t>
      </w:r>
      <w:r>
        <w:rPr>
          <w:rFonts w:hint="eastAsia" w:ascii="Calibri" w:hAnsi="Calibri" w:eastAsia="Calibri"/>
          <w:color w:val="000000"/>
          <w:sz w:val="34"/>
        </w:rPr>
        <w:t xml:space="preserve"> </w:t>
      </w:r>
      <w:r>
        <w:drawing>
          <wp:inline distT="0" distB="0" distL="0" distR="0" wp14:editId="50D07946">
            <wp:extent cx="1155700" cy="292100"/>
            <wp:effectExtent l="0" t="0" r="0" b="0"/>
            <wp:docPr id="6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New Bitmap Image.jpg"/>
                    <pic:cNvPicPr/>
                  </pic:nvPicPr>
                  <pic:blipFill>
                    <a:blip r:embed="R90c62a0d0e6a44e2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1155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Calibri" w:hAnsi="Calibri" w:eastAsia="Calibri"/>
          <w:color w:val="000000"/>
          <w:sz w:val="34"/>
        </w:rPr>
        <w:tab/>
      </w:r>
      <w:r>
        <w:rPr>
          <w:rFonts w:hint="eastAsia" w:ascii="SimSun" w:hAnsi="SimSun" w:eastAsia="SimSun"/>
          <w:color w:val="000000"/>
          <w:sz w:val="34"/>
        </w:rPr>
        <w:t xml:space="preserve">邮政编码：</w:t>
      </w:r>
    </w:p>
    <w:sectPr>
      <w:type w:val="continuous"/>
      <w:pgSz w:w="11900" w:h="16240" w:orient="portrait"/>
      <w:pgMar w:top="1680" w:right="960" w:bottom="2160" w:left="960" w:header="840" w:footer="1080"/>
      <w:cols w:equalWidth="true" w:num="1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BC8"/>
    <w:rsid w:val="000D6051"/>
    <w:rsid w:val="009F0BE0"/>
    <w:rsid w:val="00BA6D97"/>
    <w:rsid w:val="00BD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"/>
  <w15:chartTrackingRefBased/>
  <w15:docId w15:val="{96431983-C890-485F-95E8-B387FD722BBF}"/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image" Target="/media/image.jpg" Id="R675c8628fdb24e26" /><Relationship Type="http://schemas.openxmlformats.org/officeDocument/2006/relationships/image" Target="/media/image2.jpg" Id="R2be6a6fa66e14f2d" /><Relationship Type="http://schemas.openxmlformats.org/officeDocument/2006/relationships/image" Target="/media/image3.jpg" Id="Rd7b53674317e4e1d" /><Relationship Type="http://schemas.openxmlformats.org/officeDocument/2006/relationships/image" Target="/media/image4.jpg" Id="R6f34f3baf1c64510" /><Relationship Type="http://schemas.openxmlformats.org/officeDocument/2006/relationships/image" Target="/media/image5.jpg" Id="R90c62a0d0e6a44e2" /></Relationships>
</file>