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0A" w:rsidRDefault="00E9580A">
      <w:pPr>
        <w:pStyle w:val="a5"/>
        <w:shd w:val="clear" w:color="auto" w:fill="FFFFFF"/>
        <w:spacing w:before="225" w:beforeAutospacing="0" w:after="225" w:afterAutospacing="0" w:line="480" w:lineRule="auto"/>
        <w:jc w:val="center"/>
        <w:rPr>
          <w:rFonts w:asciiTheme="majorEastAsia" w:eastAsiaTheme="majorEastAsia" w:hAnsiTheme="majorEastAsia"/>
          <w:color w:val="333333"/>
          <w:sz w:val="32"/>
          <w:szCs w:val="32"/>
        </w:rPr>
      </w:pPr>
    </w:p>
    <w:p w:rsidR="00E9580A" w:rsidRDefault="00E9580A">
      <w:pPr>
        <w:pStyle w:val="a5"/>
        <w:shd w:val="clear" w:color="auto" w:fill="FFFFFF"/>
        <w:spacing w:before="225" w:beforeAutospacing="0" w:after="225" w:afterAutospacing="0" w:line="480" w:lineRule="auto"/>
        <w:jc w:val="center"/>
        <w:rPr>
          <w:rFonts w:asciiTheme="majorEastAsia" w:eastAsiaTheme="majorEastAsia" w:hAnsiTheme="majorEastAsia"/>
          <w:color w:val="333333"/>
          <w:sz w:val="32"/>
          <w:szCs w:val="32"/>
        </w:rPr>
      </w:pPr>
      <w:bookmarkStart w:id="0" w:name="_GoBack"/>
      <w:bookmarkEnd w:id="0"/>
    </w:p>
    <w:p w:rsidR="00E9580A" w:rsidRPr="00AF483B" w:rsidRDefault="0002113F" w:rsidP="00AF483B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Theme="majorEastAsia"/>
          <w:color w:val="333333"/>
          <w:sz w:val="44"/>
          <w:szCs w:val="44"/>
        </w:rPr>
      </w:pPr>
      <w:r w:rsidRPr="00AF483B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秦皇岛市住房和城乡建设局</w:t>
      </w:r>
    </w:p>
    <w:p w:rsidR="00AF483B" w:rsidRDefault="0002113F" w:rsidP="00AF483B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Theme="majorEastAsia"/>
          <w:color w:val="333333"/>
          <w:sz w:val="44"/>
          <w:szCs w:val="44"/>
        </w:rPr>
      </w:pPr>
      <w:bookmarkStart w:id="1" w:name="OLE_LINK33"/>
      <w:bookmarkStart w:id="2" w:name="OLE_LINK34"/>
      <w:bookmarkStart w:id="3" w:name="OLE_LINK3"/>
      <w:r w:rsidRPr="00AF483B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关于2025年度施工劳务企业信用管理</w:t>
      </w:r>
    </w:p>
    <w:p w:rsidR="00E9580A" w:rsidRPr="00AF483B" w:rsidRDefault="0002113F" w:rsidP="00C032B7">
      <w:pPr>
        <w:pStyle w:val="a5"/>
        <w:shd w:val="clear" w:color="auto" w:fill="FFFFFF"/>
        <w:spacing w:before="0" w:beforeAutospacing="0" w:afterLines="100" w:afterAutospacing="0" w:line="700" w:lineRule="exact"/>
        <w:jc w:val="center"/>
        <w:rPr>
          <w:rFonts w:ascii="方正小标宋简体" w:eastAsia="方正小标宋简体" w:hAnsiTheme="majorEastAsia"/>
          <w:color w:val="333333"/>
          <w:sz w:val="44"/>
          <w:szCs w:val="44"/>
        </w:rPr>
      </w:pPr>
      <w:r w:rsidRPr="00AF483B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“红黑榜”（第二批）情况</w:t>
      </w:r>
      <w:r w:rsidR="00D450F3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的</w:t>
      </w:r>
      <w:r w:rsidRPr="00AF483B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通报</w:t>
      </w:r>
    </w:p>
    <w:p w:rsidR="00E9580A" w:rsidRDefault="0002113F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bookmarkStart w:id="4" w:name="OLE_LINK11"/>
      <w:bookmarkStart w:id="5" w:name="OLE_LINK12"/>
      <w:bookmarkStart w:id="6" w:name="OLE_LINK13"/>
      <w:bookmarkStart w:id="7" w:name="OLE_LINK14"/>
      <w:bookmarkEnd w:id="1"/>
      <w:bookmarkEnd w:id="2"/>
      <w:bookmarkEnd w:id="3"/>
      <w:r>
        <w:rPr>
          <w:rFonts w:ascii="仿宋_GB2312" w:eastAsia="仿宋_GB2312" w:hAnsi="仿宋" w:cs="Times New Roman" w:hint="eastAsia"/>
          <w:sz w:val="32"/>
          <w:szCs w:val="32"/>
        </w:rPr>
        <w:t>各县（区）住房和城乡建设局、经济技术开发区城乡建设管理委员会，各有关单位</w:t>
      </w:r>
      <w:bookmarkEnd w:id="4"/>
      <w:bookmarkEnd w:id="5"/>
      <w:r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bookmarkEnd w:id="6"/>
    <w:bookmarkEnd w:id="7"/>
    <w:p w:rsidR="00E9580A" w:rsidRDefault="00D450F3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3A3A36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为进一步</w:t>
      </w:r>
      <w:r w:rsidR="0002113F">
        <w:rPr>
          <w:rFonts w:ascii="仿宋_GB2312" w:eastAsia="仿宋_GB2312" w:hAnsi="微软雅黑" w:hint="eastAsia"/>
          <w:color w:val="3A3A36"/>
          <w:sz w:val="32"/>
          <w:szCs w:val="32"/>
        </w:rPr>
        <w:t>推进社会信用体系建设，构建以信用为基础的新型监管机制，依据《河北省建筑施工企业信用评价管理办法》（冀建市规范〔2025〕2号）及《秦皇岛市施工劳务企业信用管理“红黑榜”发布管理办法》，现将2025年第二批秦皇岛市施工劳务企业信用管理“红黑榜”情况公布如下。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3A3A36"/>
          <w:sz w:val="32"/>
          <w:szCs w:val="32"/>
        </w:rPr>
      </w:pPr>
      <w:r>
        <w:rPr>
          <w:rFonts w:ascii="黑体" w:eastAsia="黑体" w:hAnsi="黑体" w:hint="eastAsia"/>
          <w:color w:val="3A3A36"/>
          <w:sz w:val="32"/>
          <w:szCs w:val="32"/>
        </w:rPr>
        <w:t>一、“红榜”施工劳务企业情况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0000FF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1</w:t>
      </w:r>
      <w:r>
        <w:rPr>
          <w:rFonts w:ascii="仿宋_GB2312" w:eastAsia="仿宋_GB2312" w:hAnsi="微软雅黑" w:hint="eastAsia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微软雅黑" w:hint="eastAsia"/>
          <w:sz w:val="32"/>
          <w:szCs w:val="32"/>
        </w:rPr>
        <w:t>秦皇岛吉丰建筑工程有限公司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 秦皇岛市金诚建筑劳务有限公司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3A3A36"/>
          <w:sz w:val="32"/>
          <w:szCs w:val="32"/>
        </w:rPr>
      </w:pPr>
      <w:r>
        <w:rPr>
          <w:rFonts w:ascii="黑体" w:eastAsia="黑体" w:hAnsi="黑体" w:hint="eastAsia"/>
          <w:color w:val="3A3A36"/>
          <w:sz w:val="32"/>
          <w:szCs w:val="32"/>
        </w:rPr>
        <w:t>二、“黑榜” 施工劳务企业情况</w:t>
      </w:r>
    </w:p>
    <w:p w:rsidR="00C032B7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 w:hint="eastAsia"/>
          <w:color w:val="3A3A36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1.秦皇岛永擎劳务服务有限公司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3A3A36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2.</w:t>
      </w:r>
      <w:r>
        <w:rPr>
          <w:rFonts w:ascii="仿宋_GB2312" w:eastAsia="仿宋_GB2312" w:cs="方正仿宋_GBK" w:hint="eastAsia"/>
          <w:sz w:val="32"/>
          <w:szCs w:val="32"/>
        </w:rPr>
        <w:t>四川神龙大地建筑工程有限公司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3.贵州东福劳务有限公司</w:t>
      </w:r>
    </w:p>
    <w:p w:rsidR="00C032B7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 w:hint="eastAsia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4.盘锦天一城乡建设工程有限公司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lastRenderedPageBreak/>
        <w:t>5.天津市诗哲建设工程有限公司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6.北京建磊国际装饰工程股份有限公司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7. 广东诚加装饰设计工程有限公司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8. 广东腾安机电安装工程有限公司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9. 河北澜沐建筑工程有限公司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3A3A36"/>
          <w:sz w:val="32"/>
          <w:szCs w:val="32"/>
        </w:rPr>
      </w:pPr>
      <w:r>
        <w:rPr>
          <w:rFonts w:ascii="黑体" w:eastAsia="黑体" w:hAnsi="黑体" w:hint="eastAsia"/>
          <w:color w:val="3A3A36"/>
          <w:sz w:val="32"/>
          <w:szCs w:val="32"/>
        </w:rPr>
        <w:t>三、有关要求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3A3A36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各县（</w:t>
      </w:r>
      <w:r w:rsidR="00C8135E">
        <w:rPr>
          <w:rFonts w:ascii="仿宋_GB2312" w:eastAsia="仿宋_GB2312" w:hAnsi="微软雅黑" w:hint="eastAsia"/>
          <w:color w:val="3A3A36"/>
          <w:sz w:val="32"/>
          <w:szCs w:val="32"/>
        </w:rPr>
        <w:t>区）要充分发挥“红榜”企业的示范带动作用，优先推荐</w:t>
      </w:r>
      <w:r w:rsidR="0063287C">
        <w:rPr>
          <w:rFonts w:ascii="仿宋_GB2312" w:eastAsia="仿宋_GB2312" w:hAnsi="微软雅黑" w:hint="eastAsia"/>
          <w:color w:val="3A3A36"/>
          <w:sz w:val="32"/>
          <w:szCs w:val="32"/>
        </w:rPr>
        <w:t>其</w:t>
      </w:r>
      <w:r w:rsidR="00C8135E">
        <w:rPr>
          <w:rFonts w:ascii="仿宋_GB2312" w:eastAsia="仿宋_GB2312" w:hAnsi="微软雅黑" w:hint="eastAsia"/>
          <w:color w:val="3A3A36"/>
          <w:sz w:val="32"/>
          <w:szCs w:val="32"/>
        </w:rPr>
        <w:t>申报</w:t>
      </w:r>
      <w:r w:rsidR="0063287C">
        <w:rPr>
          <w:rFonts w:ascii="仿宋_GB2312" w:eastAsia="仿宋_GB2312" w:hAnsi="微软雅黑" w:hint="eastAsia"/>
          <w:color w:val="3A3A36"/>
          <w:sz w:val="32"/>
          <w:szCs w:val="32"/>
        </w:rPr>
        <w:t>“燕赵建筑”</w:t>
      </w:r>
      <w:r w:rsidR="00C8135E">
        <w:rPr>
          <w:rFonts w:ascii="仿宋_GB2312" w:eastAsia="仿宋_GB2312" w:hAnsi="微软雅黑" w:hint="eastAsia"/>
          <w:color w:val="3A3A36"/>
          <w:sz w:val="32"/>
          <w:szCs w:val="32"/>
        </w:rPr>
        <w:t>金牌</w:t>
      </w:r>
      <w:r w:rsidR="0063287C">
        <w:rPr>
          <w:rFonts w:ascii="仿宋_GB2312" w:eastAsia="仿宋_GB2312" w:hAnsi="微软雅黑" w:hint="eastAsia"/>
          <w:color w:val="3A3A36"/>
          <w:sz w:val="32"/>
          <w:szCs w:val="32"/>
        </w:rPr>
        <w:t>建筑</w:t>
      </w:r>
      <w:r w:rsidR="00C8135E">
        <w:rPr>
          <w:rFonts w:ascii="仿宋_GB2312" w:eastAsia="仿宋_GB2312" w:hAnsi="微软雅黑" w:hint="eastAsia"/>
          <w:color w:val="3A3A36"/>
          <w:sz w:val="32"/>
          <w:szCs w:val="32"/>
        </w:rPr>
        <w:t>劳务企业</w:t>
      </w:r>
      <w:r>
        <w:rPr>
          <w:rFonts w:ascii="仿宋_GB2312" w:eastAsia="仿宋_GB2312" w:hAnsi="微软雅黑" w:hint="eastAsia"/>
          <w:color w:val="3A3A36"/>
          <w:sz w:val="32"/>
          <w:szCs w:val="32"/>
        </w:rPr>
        <w:t>，提升建筑工地劳务用工管理</w:t>
      </w:r>
      <w:r w:rsidR="00610C5B">
        <w:rPr>
          <w:rFonts w:ascii="仿宋_GB2312" w:eastAsia="仿宋_GB2312" w:hAnsi="微软雅黑" w:hint="eastAsia"/>
          <w:color w:val="3A3A36"/>
          <w:sz w:val="32"/>
          <w:szCs w:val="32"/>
        </w:rPr>
        <w:t>水平</w:t>
      </w:r>
      <w:r>
        <w:rPr>
          <w:rFonts w:ascii="仿宋_GB2312" w:eastAsia="仿宋_GB2312" w:hAnsi="微软雅黑" w:hint="eastAsia"/>
          <w:color w:val="3A3A36"/>
          <w:sz w:val="32"/>
          <w:szCs w:val="32"/>
        </w:rPr>
        <w:t>，保障农民工工资按时足额发放。对列入“黑榜”施工劳务企业进行信用评价的同时，要严管严查使用“黑榜”施工劳务企业的在建工地，促进施工劳务企业严格落实建筑工人实名制管理，规范劳务用工，倒逼工程各方参建单位有效落实主体责任，通过对使用“黑榜” 施工劳务企业在建工地的常态化从严监管，避免拖欠农民工工资问题发生。</w:t>
      </w:r>
    </w:p>
    <w:p w:rsidR="00E9580A" w:rsidRDefault="00E9580A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3A3A36"/>
          <w:sz w:val="32"/>
          <w:szCs w:val="32"/>
        </w:rPr>
      </w:pPr>
    </w:p>
    <w:p w:rsidR="00E9580A" w:rsidRDefault="00E9580A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微软雅黑"/>
          <w:color w:val="3A3A36"/>
          <w:sz w:val="32"/>
          <w:szCs w:val="32"/>
        </w:rPr>
      </w:pP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1150" w:firstLine="3680"/>
        <w:rPr>
          <w:rFonts w:ascii="仿宋_GB2312" w:eastAsia="仿宋_GB2312" w:hAnsi="微软雅黑"/>
          <w:color w:val="3A3A36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秦皇岛市住房和城乡建设局</w:t>
      </w:r>
    </w:p>
    <w:p w:rsidR="00E9580A" w:rsidRDefault="0002113F" w:rsidP="009447B1">
      <w:pPr>
        <w:pStyle w:val="a5"/>
        <w:shd w:val="clear" w:color="auto" w:fill="FFFFFF"/>
        <w:spacing w:before="0" w:beforeAutospacing="0" w:after="0" w:afterAutospacing="0" w:line="600" w:lineRule="exact"/>
        <w:ind w:firstLineChars="1350" w:firstLine="4320"/>
        <w:rPr>
          <w:rFonts w:ascii="仿宋_GB2312" w:eastAsia="仿宋_GB2312" w:hAnsi="微软雅黑"/>
          <w:color w:val="3A3A36"/>
          <w:sz w:val="32"/>
          <w:szCs w:val="32"/>
        </w:rPr>
      </w:pPr>
      <w:r>
        <w:rPr>
          <w:rFonts w:ascii="仿宋_GB2312" w:eastAsia="仿宋_GB2312" w:hAnsi="微软雅黑" w:hint="eastAsia"/>
          <w:color w:val="3A3A36"/>
          <w:sz w:val="32"/>
          <w:szCs w:val="32"/>
        </w:rPr>
        <w:t>2025年9月16日</w:t>
      </w:r>
    </w:p>
    <w:sectPr w:rsidR="00E9580A" w:rsidSect="00E958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AE" w:rsidRDefault="008460AE" w:rsidP="00E9580A">
      <w:r>
        <w:separator/>
      </w:r>
    </w:p>
  </w:endnote>
  <w:endnote w:type="continuationSeparator" w:id="0">
    <w:p w:rsidR="008460AE" w:rsidRDefault="008460AE" w:rsidP="00E9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4236"/>
    </w:sdtPr>
    <w:sdtEndPr>
      <w:rPr>
        <w:rFonts w:ascii="仿宋_GB2312" w:eastAsia="仿宋_GB2312" w:hint="eastAsia"/>
        <w:sz w:val="24"/>
        <w:szCs w:val="24"/>
      </w:rPr>
    </w:sdtEndPr>
    <w:sdtContent>
      <w:p w:rsidR="00E9580A" w:rsidRDefault="0002113F">
        <w:pPr>
          <w:pStyle w:val="a3"/>
          <w:jc w:val="right"/>
        </w:pPr>
        <w:r>
          <w:rPr>
            <w:rFonts w:ascii="仿宋_GB2312" w:eastAsia="仿宋_GB2312" w:hint="eastAsia"/>
            <w:sz w:val="24"/>
            <w:szCs w:val="24"/>
          </w:rPr>
          <w:t>—</w:t>
        </w:r>
        <w:r w:rsidR="00971039"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="00971039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032B7" w:rsidRPr="00C032B7">
          <w:rPr>
            <w:rFonts w:ascii="仿宋_GB2312" w:eastAsia="仿宋_GB2312"/>
            <w:noProof/>
            <w:sz w:val="24"/>
            <w:szCs w:val="24"/>
            <w:lang w:val="zh-CN"/>
          </w:rPr>
          <w:t>2</w:t>
        </w:r>
        <w:r w:rsidR="00971039">
          <w:rPr>
            <w:rFonts w:ascii="仿宋_GB2312" w:eastAsia="仿宋_GB2312" w:hint="eastAsia"/>
            <w:sz w:val="24"/>
            <w:szCs w:val="24"/>
          </w:rPr>
          <w:fldChar w:fldCharType="end"/>
        </w:r>
        <w:r>
          <w:rPr>
            <w:rFonts w:ascii="仿宋_GB2312" w:eastAsia="仿宋_GB2312" w:hint="eastAsia"/>
            <w:sz w:val="24"/>
            <w:szCs w:val="24"/>
          </w:rPr>
          <w:t>—</w:t>
        </w:r>
      </w:p>
    </w:sdtContent>
  </w:sdt>
  <w:p w:rsidR="00E9580A" w:rsidRDefault="00E958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AE" w:rsidRDefault="008460AE" w:rsidP="00E9580A">
      <w:r>
        <w:separator/>
      </w:r>
    </w:p>
  </w:footnote>
  <w:footnote w:type="continuationSeparator" w:id="0">
    <w:p w:rsidR="008460AE" w:rsidRDefault="008460AE" w:rsidP="00E9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24"/>
    <w:rsid w:val="BDEF943E"/>
    <w:rsid w:val="D2E3FFB0"/>
    <w:rsid w:val="DFDA7EC6"/>
    <w:rsid w:val="DFFB167F"/>
    <w:rsid w:val="EF5712DB"/>
    <w:rsid w:val="F3BED1E5"/>
    <w:rsid w:val="00020CCF"/>
    <w:rsid w:val="0002113F"/>
    <w:rsid w:val="000A2FE9"/>
    <w:rsid w:val="000D0C05"/>
    <w:rsid w:val="0011120B"/>
    <w:rsid w:val="00167941"/>
    <w:rsid w:val="001736CC"/>
    <w:rsid w:val="001E73BE"/>
    <w:rsid w:val="001F1957"/>
    <w:rsid w:val="00266361"/>
    <w:rsid w:val="00321BC7"/>
    <w:rsid w:val="003B2E74"/>
    <w:rsid w:val="003F33F4"/>
    <w:rsid w:val="00403D40"/>
    <w:rsid w:val="00426CA8"/>
    <w:rsid w:val="00456592"/>
    <w:rsid w:val="004B2B10"/>
    <w:rsid w:val="004D594A"/>
    <w:rsid w:val="005544E1"/>
    <w:rsid w:val="005C1620"/>
    <w:rsid w:val="005C4F7C"/>
    <w:rsid w:val="00601160"/>
    <w:rsid w:val="00607DE2"/>
    <w:rsid w:val="00610C01"/>
    <w:rsid w:val="00610C5B"/>
    <w:rsid w:val="0063287C"/>
    <w:rsid w:val="006A0855"/>
    <w:rsid w:val="00716EEE"/>
    <w:rsid w:val="007C3DD7"/>
    <w:rsid w:val="007D431D"/>
    <w:rsid w:val="008460AE"/>
    <w:rsid w:val="0087765C"/>
    <w:rsid w:val="008C14AC"/>
    <w:rsid w:val="008F6D40"/>
    <w:rsid w:val="009156F8"/>
    <w:rsid w:val="009447B1"/>
    <w:rsid w:val="00971039"/>
    <w:rsid w:val="00986F38"/>
    <w:rsid w:val="009B1456"/>
    <w:rsid w:val="00A51BFD"/>
    <w:rsid w:val="00A52C8C"/>
    <w:rsid w:val="00AA2BE2"/>
    <w:rsid w:val="00AF1223"/>
    <w:rsid w:val="00AF483B"/>
    <w:rsid w:val="00B26DF4"/>
    <w:rsid w:val="00B760F0"/>
    <w:rsid w:val="00BB762C"/>
    <w:rsid w:val="00C032B7"/>
    <w:rsid w:val="00C501A3"/>
    <w:rsid w:val="00C8135E"/>
    <w:rsid w:val="00CA61F6"/>
    <w:rsid w:val="00D40E62"/>
    <w:rsid w:val="00D450F3"/>
    <w:rsid w:val="00D60261"/>
    <w:rsid w:val="00DD4824"/>
    <w:rsid w:val="00E119A0"/>
    <w:rsid w:val="00E2583C"/>
    <w:rsid w:val="00E26D70"/>
    <w:rsid w:val="00E66F15"/>
    <w:rsid w:val="00E9580A"/>
    <w:rsid w:val="00F12AAD"/>
    <w:rsid w:val="00F300B2"/>
    <w:rsid w:val="00FB1DCA"/>
    <w:rsid w:val="774FA89D"/>
    <w:rsid w:val="7DFA7C5F"/>
    <w:rsid w:val="7FFD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9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95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958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58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48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4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2025-09-17T07:58:00Z</cp:lastPrinted>
  <dcterms:created xsi:type="dcterms:W3CDTF">2025-01-20T08:24:00Z</dcterms:created>
  <dcterms:modified xsi:type="dcterms:W3CDTF">2025-09-22T02:00:00Z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DE3BF8497803F627F7778168A570F84C</vt:lpwstr>
  </property>
</Properties>
</file>