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公有住房出售方案核定服务指南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/>
          <w:sz w:val="18"/>
          <w:szCs w:val="18"/>
          <w:lang w:eastAsia="zh-CN"/>
        </w:rPr>
        <w:t>自然人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行政</w:t>
      </w:r>
      <w:r>
        <w:rPr>
          <w:rFonts w:ascii="宋体" w:eastAsia="宋体" w:cs="宋体"/>
          <w:sz w:val="18"/>
          <w:szCs w:val="18"/>
        </w:rPr>
        <w:t>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1、秦政〔1996〕203号2、秦政〔1996〕224号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3、秦政〔2006〕83号  4、秦政〔2008〕225号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sz w:val="18"/>
          <w:szCs w:val="18"/>
        </w:rPr>
      </w:pPr>
      <w:r>
        <w:rPr>
          <w:rFonts w:ascii="宋体" w:eastAsia="宋体" w:cs="宋体"/>
          <w:b w:val="0"/>
          <w:bCs w:val="0"/>
          <w:sz w:val="18"/>
          <w:szCs w:val="18"/>
        </w:rPr>
        <w:t>秦皇岛市住房和城乡建设局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资料齐全真实有效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>1、单位产公有住房出售审批表（购房表及合同）。份数：1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 xml:space="preserve">2、单位产公有住房出售申请。 份数：1 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 xml:space="preserve">3、单位产权证及复印件。 份数：1 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 xml:space="preserve">4、购房职工夫妇双方户口本（含首页）、身份证原件及复印件。 份数：1 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 xml:space="preserve">5、购房职工配偶单位住房情况证明。 份数：1 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>6、特殊情况需要提供：大、中专毕业证书、特殊工种证明、教龄认定表、职务（职务）证明、死亡证明、继承公证书等。</w:t>
      </w:r>
    </w:p>
    <w:p>
      <w:pPr>
        <w:spacing w:line="360" w:lineRule="exact"/>
        <w:rPr>
          <w:rFonts w:ascii="宋体" w:cs="宋体" w:hAnsi="仿宋" w:hint="eastAsia"/>
          <w:sz w:val="18"/>
          <w:szCs w:val="18"/>
        </w:rPr>
      </w:pPr>
      <w:r>
        <w:rPr>
          <w:rFonts w:ascii="宋体" w:cs="宋体" w:hAnsi="仿宋" w:hint="eastAsia"/>
          <w:sz w:val="18"/>
          <w:szCs w:val="18"/>
        </w:rPr>
        <w:t xml:space="preserve">份数：1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cs="宋体" w:hint="eastAsia"/>
          <w:sz w:val="18"/>
          <w:szCs w:val="18"/>
        </w:rPr>
      </w:pPr>
    </w:p>
    <w:tbl>
      <w:tblPr>
        <w:tblpPr w:leftFromText="180" w:rightFromText="180" w:vertAnchor="text" w:horzAnchor="page" w:tblpX="6218" w:tblpY="63"/>
        <w:tblOverlap w:val="never"/>
        <w:tblW w:w="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013"/>
        <w:gridCol w:w="307"/>
        <w:gridCol w:w="585"/>
        <w:gridCol w:w="690"/>
        <w:gridCol w:w="1837"/>
      </w:tblGrid>
      <w:tr>
        <w:trPr>
          <w:trHeight w:val="23"/>
        </w:trPr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名称</w:t>
            </w:r>
          </w:p>
        </w:tc>
        <w:tc>
          <w:tcPr>
            <w:tcW w:w="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份数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复印件份数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材料来源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特定要求</w:t>
            </w: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单位产公有住房出售审批表（购房表及合同）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  <w:t>审批部门提供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  <w:t>填写齐全，加盖申请单位公章、法定代表人章</w:t>
            </w: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单位产公有住房出售申请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申请单位委托本单位职工办理，加盖申请单位公章</w:t>
            </w: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单位产权证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核验原件，留存复印件。</w:t>
            </w:r>
            <w:r>
              <w:rPr>
                <w:rFonts w:ascii="宋体" w:eastAsia="宋体" w:cs="宋体"/>
                <w:sz w:val="16"/>
                <w:szCs w:val="16"/>
              </w:rPr>
              <w:t>复印正反面在一页纸上，加盖申请单位公章</w:t>
            </w: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购房职工夫妇双方户口本（含首页）、身份证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购房职工配偶单位住房情况证明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</w:p>
        </w:tc>
      </w:tr>
      <w:tr>
        <w:trPr>
          <w:trHeight w:val="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特殊情况需要提供：大、中专毕业证书、特殊工种证明、教龄认定表、职务（职务）证明、死亡证明、继承公证书等。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窗口受理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  <w:r>
        <w:rPr>
          <w:rFonts w:ascii="宋体" w:eastAsia="宋体" w:cs="宋体" w:hint="eastAsia"/>
          <w:sz w:val="18"/>
          <w:szCs w:val="18"/>
        </w:rPr>
        <w:t>到</w:t>
      </w:r>
      <w:r>
        <w:rPr>
          <w:rFonts w:ascii="宋体" w:eastAsia="宋体" w:cs="宋体"/>
          <w:sz w:val="18"/>
          <w:szCs w:val="18"/>
        </w:rPr>
        <w:t>秦皇岛市海港区民族路号市政务服务大厅2楼住建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</w:t>
      </w:r>
      <w:r>
        <w:rPr>
          <w:rFonts w:ascii="宋体" w:eastAsia="宋体" w:cs="宋体"/>
          <w:sz w:val="18"/>
          <w:szCs w:val="18"/>
          <w:lang w:val="en-US" w:eastAsia="zh-CN"/>
        </w:rPr>
        <w:t>办理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23" behindDoc="0" locked="0" layoutInCell="1" hidden="0" allowOverlap="1">
                <wp:simplePos x="0" y="0"/>
                <wp:positionH relativeFrom="column">
                  <wp:posOffset>1010284</wp:posOffset>
                </wp:positionH>
                <wp:positionV relativeFrom="paragraph">
                  <wp:posOffset>133350</wp:posOffset>
                </wp:positionV>
                <wp:extent cx="810260" cy="237490"/>
                <wp:effectExtent l="0" t="0" r="0" b="0"/>
                <wp:wrapNone/>
                <wp:docPr id="1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0260" cy="23749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jc w:val="center"/>
                              <w:rPr>
                                <w:rFonts w:eastAsia="宋体"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窗口收件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2 3" o:spid="_x0000_s3" fillcolor="#FFFFFF" stroked="t" strokeweight="0.5pt" style="position:absolute;margin-left:79.549995pt;margin-top:10.5pt;width:63.800003pt;height:18.7pt;z-index:23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eastAsia="宋体"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窗口收件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八</w:t>
      </w:r>
      <w:r>
        <w:rPr>
          <w:rFonts w:ascii="宋体" w:eastAsia="宋体" w:cs="宋体" w:hint="eastAsia"/>
          <w:b/>
          <w:bCs/>
          <w:sz w:val="18"/>
          <w:szCs w:val="18"/>
        </w:rPr>
        <w:t>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eastAsia="zh-CN"/>
        </w:rPr>
        <w:t>（一）</w:t>
      </w:r>
      <w:r>
        <w:rPr>
          <w:rFonts w:ascii="宋体" w:eastAsia="宋体" w:cs="宋体" w:hint="eastAsia"/>
          <w:sz w:val="18"/>
          <w:szCs w:val="18"/>
        </w:rPr>
        <w:t>流程图</w:t>
      </w:r>
    </w:p>
    <w:p>
      <w:pPr>
        <w:rPr>
          <w:rFonts w:ascii="仿宋_GB2312" w:eastAsia="仿宋_GB2312" w:cs="仿宋_GB2312" w:hAnsi="仿宋_GB2312"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25" behindDoc="0" locked="0" layoutInCell="1" hidden="0" allowOverlap="1">
                <wp:simplePos x="0" y="0"/>
                <wp:positionH relativeFrom="column">
                  <wp:posOffset>1010284</wp:posOffset>
                </wp:positionH>
                <wp:positionV relativeFrom="paragraph">
                  <wp:posOffset>225425</wp:posOffset>
                </wp:positionV>
                <wp:extent cx="817879" cy="239394"/>
                <wp:effectExtent l="0" t="0" r="0" b="0"/>
                <wp:wrapNone/>
                <wp:docPr id="4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7879" cy="23939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受理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4 6" o:spid="_x0000_s6" fillcolor="#FFFFFF" stroked="t" strokeweight="0.5pt" style="position:absolute;margin-left:79.549995pt;margin-top:17.75pt;width:64.399994pt;height:18.849998pt;z-index:25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受理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7" behindDoc="0" locked="0" layoutInCell="1" hidden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78740</wp:posOffset>
                </wp:positionV>
                <wp:extent cx="3810" cy="147319"/>
                <wp:effectExtent l="0" t="0" r="0" b="0"/>
                <wp:wrapNone/>
                <wp:docPr id="7" name="直接箭头连接符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189855" y="6574154"/>
                          <a:ext cx="3810" cy="147319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7 8" o:spid="_x0000_s8" filled="f" stroked="t" strokeweight="1.0pt" style="position:absolute;margin-left:111.45002pt;margin-top:6.2000027pt;width:0.30003357pt;height:11.599995pt;z-index:27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29" behindDoc="0" locked="0" layoutInCell="1" hidden="0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185419</wp:posOffset>
                </wp:positionV>
                <wp:extent cx="819149" cy="276225"/>
                <wp:effectExtent l="0" t="0" r="0" b="0"/>
                <wp:wrapNone/>
                <wp:docPr id="9" name="文本框 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9149" cy="27622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0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8 11" o:spid="_x0000_s11" fillcolor="#FFFFFF" stroked="t" strokeweight="0.5pt" style="position:absolute;margin-left:79.15pt;margin-top:14.599999pt;width:64.49999pt;height:21.750002pt;z-index:29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31" behindDoc="0" locked="0" layoutInCell="1" hidden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69215</wp:posOffset>
                </wp:positionV>
                <wp:extent cx="3810" cy="116205"/>
                <wp:effectExtent l="0" t="0" r="0" b="0"/>
                <wp:wrapNone/>
                <wp:docPr id="12" name="直接箭头连接符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5189855" y="6960870"/>
                          <a:ext cx="3810" cy="11620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3 13" o:spid="_x0000_s13" filled="f" stroked="t" strokeweight="1.0pt" style="position:absolute;margin-left:111.45002pt;margin-top:5.4500146pt;width:0.30003357pt;height:9.150007pt;flip:x;z-index:31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33" behindDoc="0" locked="0" layoutInCell="1" hidden="0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69215</wp:posOffset>
                </wp:positionV>
                <wp:extent cx="952" cy="952"/>
                <wp:effectExtent l="0" t="0" r="0" b="0"/>
                <wp:wrapNone/>
                <wp:docPr id="14" name="直接箭头连接符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193030" y="6960870"/>
                          <a:ext cx="952" cy="952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0 15" o:spid="_x0000_s15" filled="f" stroked="t" strokeweight="1.0pt" style="position:absolute;margin-left:111.70003pt;margin-top:5.4500146pt;width:0.075035095pt;height:0.07496214pt;z-index:33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35" behindDoc="0" locked="0" layoutInCell="1" hidden="0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191770</wp:posOffset>
                </wp:positionV>
                <wp:extent cx="828040" cy="255905"/>
                <wp:effectExtent l="0" t="0" r="0" b="0"/>
                <wp:wrapNone/>
                <wp:docPr id="16" name="文本框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8040" cy="25590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7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9 18" o:spid="_x0000_s18" fillcolor="#FFFFFF" stroked="t" strokeweight="0.5pt" style="position:absolute;margin-left:79.15pt;margin-top:15.1pt;width:65.200005pt;height:20.15pt;z-index:35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37" behindDoc="0" locked="0" layoutInCell="1" hidden="0" allowOverlap="1">
                <wp:simplePos x="0" y="0"/>
                <wp:positionH relativeFrom="column">
                  <wp:posOffset>1416684</wp:posOffset>
                </wp:positionH>
                <wp:positionV relativeFrom="paragraph">
                  <wp:posOffset>447675</wp:posOffset>
                </wp:positionV>
                <wp:extent cx="2540" cy="144144"/>
                <wp:effectExtent l="0" t="0" r="0" b="0"/>
                <wp:wrapNone/>
                <wp:docPr id="19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8605520" y="807720"/>
                          <a:ext cx="2540" cy="14414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20" o:spid="_x0000_s20" filled="f" stroked="t" strokeweight="1.0pt" style="position:absolute;margin-left:111.54996pt;margin-top:35.250008pt;width:0.20001984pt;height:11.349987pt;flip:x;z-index:37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39" behindDoc="0" locked="0" layoutInCell="1" hidden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65404</wp:posOffset>
                </wp:positionV>
                <wp:extent cx="4445" cy="126365"/>
                <wp:effectExtent l="0" t="0" r="0" b="0"/>
                <wp:wrapNone/>
                <wp:docPr id="21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8604251" y="425449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22" o:spid="_x0000_s22" filled="f" stroked="t" strokeweight="1.0pt" style="position:absolute;margin-left:111.45006pt;margin-top:5.1499915pt;width:0.35001373pt;height:9.950026pt;z-index:39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41" behindDoc="0" locked="0" layoutInCell="1" hidden="0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195580</wp:posOffset>
                </wp:positionV>
                <wp:extent cx="821690" cy="247015"/>
                <wp:effectExtent l="0" t="0" r="0" b="0"/>
                <wp:wrapNone/>
                <wp:docPr id="23" name="文本框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1690" cy="24701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4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11 25" o:spid="_x0000_s25" fillcolor="#FFFFFF" stroked="t" strokeweight="0.5pt" style="position:absolute;margin-left:79.25pt;margin-top:15.4pt;width:64.7pt;height:19.450003pt;z-index:41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43" behindDoc="0" locked="0" layoutInCell="1" hidden="0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442594</wp:posOffset>
                </wp:positionV>
                <wp:extent cx="1269" cy="139064"/>
                <wp:effectExtent l="0" t="0" r="0" b="0"/>
                <wp:wrapNone/>
                <wp:docPr id="26" name="直接箭头连接符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8604885" y="1198879"/>
                          <a:ext cx="1269" cy="13906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6 27" o:spid="_x0000_s27" filled="f" stroked="t" strokeweight="1.0pt" style="position:absolute;margin-left:111.50001pt;margin-top:34.84999pt;width:0.09996796pt;height:10.949997pt;flip:x;z-index:43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rPr>
          <w:rFonts w:ascii="仿宋_GB2312" w:eastAsia="仿宋_GB2312" w:cs="仿宋_GB2312" w:hAnsi="仿宋_GB2312"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45" behindDoc="0" locked="0" layoutInCell="1" hidden="0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185419</wp:posOffset>
                </wp:positionV>
                <wp:extent cx="819785" cy="267335"/>
                <wp:effectExtent l="0" t="0" r="0" b="0"/>
                <wp:wrapNone/>
                <wp:docPr id="28" name="文本框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9785" cy="26733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9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窗口送达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12 30" o:spid="_x0000_s30" fillcolor="#FFFFFF" stroked="t" strokeweight="0.5pt" style="position:absolute;margin-left:79.15pt;margin-top:14.599999pt;width:64.549995pt;height:21.050001pt;z-index:45;mso-position-horizontal:absolute;mso-position-vertical:absolute;mso-wrap-distance-left:8.999863pt;mso-wrap-distance-right:8.999863pt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窗口送达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1.窗口收件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由</w:t>
      </w:r>
      <w:r>
        <w:rPr>
          <w:rFonts w:ascii="宋体" w:eastAsia="宋体" w:cs="宋体"/>
          <w:sz w:val="18"/>
          <w:szCs w:val="18"/>
          <w:lang w:eastAsia="zh-CN"/>
        </w:rPr>
        <w:t>秦皇岛市</w:t>
      </w:r>
      <w:r>
        <w:rPr>
          <w:rFonts w:ascii="宋体" w:eastAsia="宋体" w:cs="宋体" w:hint="eastAsia"/>
          <w:sz w:val="18"/>
          <w:szCs w:val="18"/>
          <w:lang w:eastAsia="zh-CN"/>
        </w:rPr>
        <w:t>政务服务大厅</w:t>
      </w:r>
      <w:r>
        <w:rPr>
          <w:rFonts w:ascii="宋体" w:eastAsia="宋体" w:cs="宋体"/>
          <w:sz w:val="18"/>
          <w:szCs w:val="18"/>
          <w:lang w:eastAsia="zh-CN"/>
        </w:rPr>
        <w:t>市住建局窗口</w:t>
      </w:r>
      <w:r>
        <w:rPr>
          <w:rFonts w:ascii="宋体" w:eastAsia="宋体" w:cs="宋体" w:hint="eastAsia"/>
          <w:sz w:val="18"/>
          <w:szCs w:val="18"/>
          <w:lang w:eastAsia="zh-CN"/>
        </w:rPr>
        <w:t>前台人员收取纸质文件及电子版文件。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2.受理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审批机关对申请材料进行审查，自收到申请材料之日起</w:t>
      </w:r>
      <w:r>
        <w:rPr>
          <w:rFonts w:ascii="宋体" w:cs="宋体" w:hint="eastAsia"/>
          <w:sz w:val="18"/>
          <w:szCs w:val="18"/>
          <w:lang w:val="en-US" w:eastAsia="zh-CN"/>
        </w:rPr>
        <w:t>3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个工作日内作出是否受理的决定;符合规定的，向申请单位出具受理通知书。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3.审查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审批机关依据申报材料进行审查，履行审批程序;符合条件的，提出审批意见;不符合审批条件的，草拟不予审批的审查意见，并书面说明理由。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4.审批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依据审查意见，作出准予或不予的行政决定。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5.办结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经办人根据审批决定，出具相应的办理结果。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6.窗口送达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由出件窗口负责将办理结果送达。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cs="宋体" w:hint="eastAsia"/>
          <w:sz w:val="18"/>
          <w:szCs w:val="18"/>
          <w:lang w:val="en-US" w:eastAsia="zh-CN"/>
        </w:rPr>
        <w:t>3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 w:cs="宋体" w:hint="eastAsia"/>
          <w:sz w:val="18"/>
          <w:szCs w:val="18"/>
          <w:lang w:val="en-US" w:eastAsia="zh-CN"/>
        </w:rPr>
        <w:t>3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到出件</w:t>
      </w:r>
      <w:r>
        <w:rPr>
          <w:rFonts w:ascii="宋体" w:eastAsia="宋体" w:cs="宋体" w:hint="eastAsia"/>
          <w:sz w:val="18"/>
          <w:szCs w:val="18"/>
          <w:lang w:eastAsia="zh-CN"/>
        </w:rPr>
        <w:t>窗口自取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申请人在申请行政审批过程中，依法享有陈述权、申辩权；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申请人的行政许可申请被驳回的有权要求说明理由;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申请人不服行政许可决定的，有权依法申请行政复议或者提起行政诉讼。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秦皇岛市海港区民族路6号市政务服务大厅2楼</w:t>
      </w:r>
      <w:r>
        <w:rPr>
          <w:rFonts w:ascii="宋体" w:eastAsia="宋体" w:cs="宋体"/>
          <w:sz w:val="18"/>
          <w:szCs w:val="18"/>
          <w:lang w:val="en-US" w:eastAsia="zh-CN"/>
        </w:rPr>
        <w:t>住建窗口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反映窗口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秦皇岛市政务服务大厅（民族路6号）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时间:秋冬春季</w:t>
      </w:r>
      <w:r>
        <w:rPr>
          <w:rFonts w:ascii="宋体" w:eastAsia="宋体" w:cs="宋体"/>
          <w:sz w:val="18"/>
          <w:szCs w:val="18"/>
          <w:lang w:eastAsia="zh-CN"/>
        </w:rPr>
        <w:t>工作日</w:t>
      </w:r>
      <w:r>
        <w:rPr>
          <w:rFonts w:ascii="宋体" w:eastAsia="宋体" w:cs="宋体" w:hint="eastAsia"/>
          <w:sz w:val="18"/>
          <w:szCs w:val="18"/>
          <w:lang w:eastAsia="zh-CN"/>
        </w:rPr>
        <w:t>(9月1日~5月31日)上午8:30~12:00，下午1</w:t>
      </w:r>
      <w:r>
        <w:rPr>
          <w:rFonts w:ascii="宋体" w:eastAsia="宋体" w:cs="宋体"/>
          <w:sz w:val="18"/>
          <w:szCs w:val="18"/>
          <w:lang w:eastAsia="zh-CN"/>
        </w:rPr>
        <w:t>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</w:t>
      </w:r>
      <w:r>
        <w:rPr>
          <w:rFonts w:ascii="宋体" w:eastAsia="宋体" w:cs="宋体"/>
          <w:sz w:val="18"/>
          <w:szCs w:val="18"/>
          <w:lang w:eastAsia="zh-CN"/>
        </w:rPr>
        <w:t>工作日</w:t>
      </w:r>
      <w:r>
        <w:rPr>
          <w:rFonts w:ascii="宋体" w:eastAsia="宋体" w:cs="宋体" w:hint="eastAsia"/>
          <w:sz w:val="18"/>
          <w:szCs w:val="18"/>
          <w:lang w:eastAsia="zh-CN"/>
        </w:rPr>
        <w:t>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1.现场查询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2.</w:t>
      </w:r>
      <w:r>
        <w:rPr>
          <w:rFonts w:ascii="宋体" w:eastAsia="宋体" w:cs="宋体"/>
          <w:sz w:val="18"/>
          <w:szCs w:val="18"/>
          <w:lang w:eastAsia="zh-CN"/>
        </w:rPr>
        <w:t>电话</w:t>
      </w:r>
      <w:r>
        <w:rPr>
          <w:rFonts w:ascii="宋体" w:eastAsia="宋体" w:cs="宋体" w:hint="eastAsia"/>
          <w:sz w:val="18"/>
          <w:szCs w:val="18"/>
          <w:lang w:eastAsia="zh-CN"/>
        </w:rPr>
        <w:t>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  <w:bCs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1DFF9DA-50F0-4B9B-A9F4-0D59418259E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2</Pages>
  <Words>0</Words>
  <Characters>1138</Characters>
  <Lines>0</Lines>
  <Paragraphs>83</Paragraphs>
  <CharactersWithSpaces>1518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2023-10-11T14:55:00Z</cp:lastPrinted>
  <dcterms:created xsi:type="dcterms:W3CDTF">2023-09-06T10:23:00Z</dcterms:created>
  <dcterms:modified xsi:type="dcterms:W3CDTF">2024-03-21T06:42:48Z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9138A84FD69C47BBAECAE982F1E1A7DD_13</vt:lpwstr>
  </property>
</Properties>
</file>