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>
        <w:rPr>
          <w:rFonts w:ascii="方正小标宋简体" w:eastAsia="方正小标宋简体" w:hint="eastAsia"/>
          <w:spacing w:val="-20"/>
          <w:sz w:val="44"/>
          <w:szCs w:val="44"/>
        </w:rPr>
        <w:t>市住房和城乡建设局关于权责清单编制情况的说明</w:t>
      </w:r>
    </w:p>
    <w:p>
      <w:pPr>
        <w:jc w:val="center"/>
        <w:rPr>
          <w:sz w:val="36"/>
          <w:szCs w:val="36"/>
        </w:rPr>
      </w:pPr>
    </w:p>
    <w:p>
      <w:pPr>
        <w:spacing w:line="5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这次清单编制按照“法无授权不可为”和“法定职责必须为”的要求，结合法律法规规章和“三定”规定等，认真梳理法律法规规章52部,确定权责清单事项，每项权责事项包含权力类型、权力事项、实施依据、省级主管部门、实施层级、责任事项、追责情形等7个基本要素。</w:t>
      </w:r>
    </w:p>
    <w:p>
      <w:pPr>
        <w:spacing w:line="5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列入权责清单的行政权力事项，按照行政许可、行政强制、行政给付、行政裁决、行政确认、行政奖励、行政检查、行政备案、其他类进行划分。</w:t>
      </w:r>
    </w:p>
    <w:p>
      <w:pPr>
        <w:spacing w:line="50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经过梳理本局权责清单共涉及</w:t>
      </w:r>
      <w:r>
        <w:rPr>
          <w:rFonts w:ascii="仿宋" w:eastAsia="仿宋"/>
          <w:sz w:val="32"/>
          <w:szCs w:val="32"/>
        </w:rPr>
        <w:t>10</w:t>
      </w:r>
      <w:r>
        <w:rPr>
          <w:rFonts w:ascii="仿宋" w:eastAsia="仿宋" w:hint="eastAsia"/>
          <w:sz w:val="32"/>
          <w:szCs w:val="32"/>
        </w:rPr>
        <w:t>大类</w:t>
      </w:r>
      <w:r>
        <w:rPr>
          <w:rFonts w:ascii="仿宋" w:eastAsia="仿宋"/>
          <w:sz w:val="32"/>
          <w:szCs w:val="32"/>
        </w:rPr>
        <w:t>373</w:t>
      </w:r>
      <w:bookmarkStart w:id="0" w:name="_GoBack"/>
      <w:bookmarkEnd w:id="0"/>
      <w:r>
        <w:rPr>
          <w:rFonts w:ascii="仿宋" w:eastAsia="仿宋" w:hint="eastAsia"/>
          <w:sz w:val="32"/>
          <w:szCs w:val="32"/>
        </w:rPr>
        <w:t>项。其中行政许可13项、行政强制2项、行政给付1项、行政奖励1项、行政检查24项、行政裁决</w:t>
      </w:r>
      <w:r>
        <w:rPr>
          <w:rFonts w:ascii="仿宋" w:eastAsia="仿宋"/>
          <w:sz w:val="32"/>
          <w:szCs w:val="32"/>
        </w:rPr>
        <w:t>1</w:t>
      </w:r>
      <w:r>
        <w:rPr>
          <w:rFonts w:ascii="仿宋" w:eastAsia="仿宋" w:hint="eastAsia"/>
          <w:sz w:val="32"/>
          <w:szCs w:val="32"/>
        </w:rPr>
        <w:t>项、行政确认8项、行政备案22项、</w:t>
      </w:r>
      <w:r>
        <w:rPr>
          <w:rFonts w:ascii="仿宋" w:eastAsia="仿宋"/>
          <w:sz w:val="32"/>
          <w:szCs w:val="32"/>
        </w:rPr>
        <w:t>行政处罚296项、</w:t>
      </w:r>
      <w:r>
        <w:rPr>
          <w:rFonts w:ascii="仿宋" w:eastAsia="仿宋" w:hint="eastAsia"/>
          <w:sz w:val="32"/>
          <w:szCs w:val="32"/>
        </w:rPr>
        <w:t>其他权力5项。</w:t>
      </w:r>
    </w:p>
    <w:sectPr>
      <w:pgSz w:w="16839" w:h="11907" w:orient="landscape"/>
      <w:pgMar w:top="1800" w:right="1440" w:bottom="1800" w:left="144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altName w:val="Arial Unicode MS"/>
    <w:panose1 w:val="00000000000000000000"/>
    <w:charset w:val="86"/>
    <w:family w:val="script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2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2"/>
  </w:compat>
  <w:docVars>
    <w:docVar w:name="commondata" w:val="eyJoZGlkIjoiOTE0ZGViNGFkYzdjNDkyMGNhY2RlNjBmMzEzNGE1NDU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1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</TotalTime>
  <Application>Yozo_Office27021597764231179</Application>
  <Pages>1</Pages>
  <Words>299</Words>
  <Characters>308</Characters>
  <Lines>10</Lines>
  <Paragraphs>4</Paragraphs>
  <CharactersWithSpaces>308</CharactersWithSpaces>
  <Company>china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2</cp:revision>
  <dcterms:created xsi:type="dcterms:W3CDTF">2024-06-17T04:49:00Z</dcterms:created>
  <dcterms:modified xsi:type="dcterms:W3CDTF">2024-12-27T03:18:45Z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2052-12.1.0.15712</vt:lpwstr>
  </property>
  <property fmtid="{D5CDD505-2E9C-101B-9397-08002B2CF9AE}" pid="3" name="ICV">
    <vt:lpwstr>BBEEAE785324438A9C12B92043845EFF_13</vt:lpwstr>
  </property>
</Properties>
</file>