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4"/>
        <w:gridCol w:w="850"/>
        <w:gridCol w:w="831"/>
        <w:gridCol w:w="3660"/>
        <w:gridCol w:w="895"/>
        <w:gridCol w:w="963"/>
        <w:gridCol w:w="3967"/>
        <w:gridCol w:w="3402"/>
        <w:gridCol w:w="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blHeader/>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5" w:type="dxa"/>
              <w:left w:w="0" w:type="dxa"/>
              <w:bottom w:w="15" w:type="dxa"/>
              <w:right w:w="0"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类型</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事项</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实施依据</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主管部门</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实施</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层级</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责任事项</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追责情形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行政强制</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依法查封建筑施工工地及相关设备</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Arial" w:hAnsi="Arial" w:eastAsia="宋体" w:cs="Arial"/>
                <w:i w:val="0"/>
                <w:iCs w:val="0"/>
                <w:caps w:val="0"/>
                <w:color w:val="auto"/>
                <w:spacing w:val="0"/>
                <w:sz w:val="16"/>
                <w:szCs w:val="16"/>
                <w:shd w:val="clear" w:fill="FFFFFF"/>
                <w:lang w:val="en-US" w:eastAsia="zh-CN"/>
              </w:rPr>
              <w:t>1</w:t>
            </w:r>
            <w:r>
              <w:rPr>
                <w:rFonts w:hint="eastAsia" w:ascii="仿宋_GB2312" w:hAnsi="仿宋_GB2312" w:eastAsia="仿宋_GB2312" w:cs="仿宋_GB2312"/>
                <w:i w:val="0"/>
                <w:color w:val="auto"/>
                <w:kern w:val="0"/>
                <w:sz w:val="18"/>
                <w:szCs w:val="18"/>
                <w:u w:val="none"/>
                <w:lang w:val="en-US" w:eastAsia="zh-CN" w:bidi="ar"/>
              </w:rPr>
              <w:t>.</w:t>
            </w:r>
            <w:r>
              <w:rPr>
                <w:rFonts w:hint="default" w:ascii="仿宋_GB2312" w:hAnsi="仿宋_GB2312" w:eastAsia="仿宋_GB2312" w:cs="仿宋_GB2312"/>
                <w:i w:val="0"/>
                <w:color w:val="auto"/>
                <w:kern w:val="0"/>
                <w:sz w:val="18"/>
                <w:szCs w:val="18"/>
                <w:u w:val="none"/>
                <w:lang w:val="en-US" w:eastAsia="zh-CN" w:bidi="ar"/>
              </w:rPr>
              <w:t>《中华人民共和国安全生产法》（2002年6月29日主席令第70号公布;2014年8月31日修改;2021年6月10日修改，自2021年9月1日起施行）第六十</w:t>
            </w:r>
            <w:r>
              <w:rPr>
                <w:rFonts w:hint="eastAsia" w:ascii="仿宋_GB2312" w:hAnsi="仿宋_GB2312" w:eastAsia="仿宋_GB2312" w:cs="仿宋_GB2312"/>
                <w:i w:val="0"/>
                <w:color w:val="auto"/>
                <w:kern w:val="0"/>
                <w:sz w:val="18"/>
                <w:szCs w:val="18"/>
                <w:u w:val="none"/>
                <w:lang w:val="en-US" w:eastAsia="zh-CN" w:bidi="ar"/>
              </w:rPr>
              <w:t>五</w:t>
            </w:r>
            <w:r>
              <w:rPr>
                <w:rFonts w:hint="default" w:ascii="仿宋_GB2312" w:hAnsi="仿宋_GB2312" w:eastAsia="仿宋_GB2312" w:cs="仿宋_GB2312"/>
                <w:i w:val="0"/>
                <w:color w:val="auto"/>
                <w:kern w:val="0"/>
                <w:sz w:val="18"/>
                <w:szCs w:val="18"/>
                <w:u w:val="none"/>
                <w:lang w:val="en-US" w:eastAsia="zh-CN" w:bidi="ar"/>
              </w:rPr>
              <w:t>条</w:t>
            </w:r>
            <w:r>
              <w:rPr>
                <w:rFonts w:hint="eastAsia" w:ascii="仿宋_GB2312" w:hAnsi="仿宋_GB2312" w:eastAsia="仿宋_GB2312" w:cs="仿宋_GB2312"/>
                <w:i w:val="0"/>
                <w:color w:val="auto"/>
                <w:kern w:val="0"/>
                <w:sz w:val="18"/>
                <w:szCs w:val="18"/>
                <w:u w:val="none"/>
                <w:lang w:val="en-US" w:eastAsia="zh-CN" w:bidi="ar"/>
              </w:rPr>
              <w:t xml:space="preserve"> 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（一）进入生产经营单位进行检查，调阅有关资料，向有关单位和人员了解情况；</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监督检查不得影响被检查单位的正常生产经营活动。</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2.中华人民共和国特种设备安全法；第四十八条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仿宋_GB2312" w:hAnsi="仿宋_GB2312" w:eastAsia="仿宋_GB2312" w:cs="仿宋_GB2312"/>
                <w:i w:val="0"/>
                <w:color w:val="auto"/>
                <w:sz w:val="18"/>
                <w:szCs w:val="18"/>
                <w:u w:val="none"/>
                <w:lang w:val="en-US"/>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省住建厅</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市级</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1检查责任：对生产经营单位进行监督检查；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2.处置责任：对监督检查发现的问题，责令限期整改、并依法作出处理决定；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3.事后管理责任：对监督检查发现的问题，生产经验单位整改完成后，对整改情况组织进行核查；</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4.其他责任：法律法规规章等规定应履行的责任。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18"/>
                <w:szCs w:val="18"/>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负有安全生产监督管理职责的部门的工作人员，有下列行为之一的，给予降级或者撤职的处分；构成犯罪的，依照刑法有关规定追究刑事责任: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（一）对不符合法定安全生产条件的涉及安全生产的事项予以批准或者验收通过的；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（二）发现未依法取得批准、验收的单位擅自从事有关活动或者接到举报后不予取缔或者不依法予以处理的；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（三）对已经依法取得批准的单位不履行监督管理职责，发现其不再具备安全生产条件而不撤销原批准或者发现安全生产违法行为不予查处的；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（四）在监督检查中发现重大事故隐患，不依法及时处理的。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18"/>
                <w:szCs w:val="18"/>
                <w:u w:val="none"/>
                <w:lang w:val="en-US" w:eastAsia="zh-CN" w:bidi="ar"/>
              </w:rPr>
            </w:pPr>
            <w:bookmarkStart w:id="0" w:name="_GoBack" w:colFirst="0" w:colLast="7"/>
            <w:r>
              <w:rPr>
                <w:rFonts w:hint="eastAsia" w:ascii="仿宋_GB2312" w:hAnsi="仿宋_GB2312" w:eastAsia="仿宋_GB2312" w:cs="仿宋_GB2312"/>
                <w:i w:val="0"/>
                <w:color w:val="000000"/>
                <w:kern w:val="0"/>
                <w:sz w:val="18"/>
                <w:szCs w:val="18"/>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行政强制</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对涉嫌违反抗震设防强制性标准的施工现场进行查封</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仿宋_GB2312" w:hAnsi="仿宋_GB2312" w:eastAsia="仿宋_GB2312" w:cs="仿宋_GB2312"/>
                <w:i w:val="0"/>
                <w:color w:val="auto"/>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建设工程抗震管理条例》（2021年7月19日国务院令第744号公布，自2021年9月1日起施行)第三十五条：县级以上人民政府住房和城乡建设主管部门或者其他有关监督管理部门履行建设工程抗震监督管理职责时，有权采取以下措施：……（五）查封涉嫌违反抗震设防强制性标准的施工现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省住建厅</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1检查责任：对施工现场相关各方责任主体单位进行监督检查；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2.处置责任：对监督检查发现的问题，责令限期整改、并依法作出处理决定；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3.事后管理责任：对监督检查发现的问题，施工现场相关各方责任主体单位整改完成后，对整改情况组织进行核查；</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4.其他责任：法律法规规章等规定应履行的责任。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18"/>
                <w:szCs w:val="18"/>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1、建设行政主管部门及其他有关部门的工作人员在抗震管理工作中玩忽职守、滥用职权、徇私舞弊情节轻微的，由其所在单位或者上级主管部门给予行政处分；情节严重构成犯罪的，依法追究刑事责任。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2、其他违反法律法规规章文件规定的行为。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仿宋_GB2312" w:hAnsi="仿宋_GB2312" w:eastAsia="仿宋_GB2312" w:cs="仿宋_GB2312"/>
                <w:i w:val="0"/>
                <w:color w:val="auto"/>
                <w:sz w:val="18"/>
                <w:szCs w:val="18"/>
                <w:u w:val="none"/>
              </w:rPr>
            </w:pPr>
          </w:p>
        </w:tc>
      </w:tr>
      <w:bookmarkEnd w:id="0"/>
    </w:tbl>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outlineLvl w:val="9"/>
        <w:rPr>
          <w:rFonts w:hint="eastAsia" w:ascii="仿宋_GB2312" w:hAnsi="仿宋_GB2312" w:eastAsia="仿宋_GB2312" w:cs="仿宋_GB2312"/>
          <w:sz w:val="18"/>
          <w:szCs w:val="18"/>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ZGViNGFkYzdjNDkyMGNhY2RlNjBmMzEzNGE1NDUifQ=="/>
  </w:docVars>
  <w:rsids>
    <w:rsidRoot w:val="342377E9"/>
    <w:rsid w:val="014A271D"/>
    <w:rsid w:val="227B0F4D"/>
    <w:rsid w:val="342377E9"/>
    <w:rsid w:val="35BA0C65"/>
    <w:rsid w:val="390B7161"/>
    <w:rsid w:val="447748A1"/>
    <w:rsid w:val="4ADB717D"/>
    <w:rsid w:val="54DF3C86"/>
    <w:rsid w:val="62BB6808"/>
    <w:rsid w:val="6D986081"/>
    <w:rsid w:val="7E817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2310</Words>
  <Characters>2364</Characters>
  <Lines>0</Lines>
  <Paragraphs>0</Paragraphs>
  <TotalTime>0</TotalTime>
  <ScaleCrop>false</ScaleCrop>
  <LinksUpToDate>false</LinksUpToDate>
  <CharactersWithSpaces>2381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2022-08-30T08:33:00Z</dcterms:created>
  <dc:creator>Administrator</dc:creator>
  <cp:lastModifiedBy>秦海一滴水</cp:lastModifiedBy>
  <dcterms:modified xsi:type="dcterms:W3CDTF">2023-09-26T02:30:50Z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2B1C42E461BF49A683EFE77DAD11F5E9</vt:lpwstr>
  </property>
</Properties>
</file>