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spacing w:line="960" w:lineRule="exact"/>
        <w:jc w:val="center"/>
        <w:outlineLvl w:val="0"/>
        <w:rPr>
          <w:rFonts w:ascii="方正小标宋简体" w:eastAsia="方正小标宋_GBK" w:cs="方正小标宋简体"/>
          <w:sz w:val="72"/>
          <w:szCs w:val="72"/>
        </w:rPr>
      </w:pPr>
      <w:bookmarkStart w:id="0" w:name="_Toc3388"/>
      <w:bookmarkStart w:id="1" w:name="_Toc29675"/>
      <w:bookmarkStart w:id="2" w:name="_Toc13806"/>
    </w:p>
    <w:bookmarkEnd w:id="0"/>
    <w:bookmarkEnd w:id="1"/>
    <w:bookmarkEnd w:id="2"/>
    <w:p>
      <w:pPr>
        <w:autoSpaceDN w:val="0"/>
        <w:spacing w:line="960" w:lineRule="exact"/>
        <w:jc w:val="center"/>
        <w:outlineLvl w:val="0"/>
        <w:rPr>
          <w:rFonts w:hint="eastAsia" w:ascii="方正小标宋简体" w:eastAsia="方正小标宋_GBK" w:cs="方正小标宋简体"/>
          <w:sz w:val="72"/>
          <w:szCs w:val="72"/>
          <w:lang w:val="en-US" w:eastAsia="zh-CN"/>
        </w:rPr>
      </w:pPr>
      <w:bookmarkStart w:id="3" w:name="_Toc16748"/>
      <w:bookmarkStart w:id="4" w:name="_Toc21383"/>
      <w:bookmarkStart w:id="5" w:name="_Toc6483"/>
      <w:bookmarkStart w:id="6" w:name="_Toc1895"/>
      <w:r>
        <w:rPr>
          <w:rFonts w:hint="eastAsia" w:ascii="方正小标宋简体" w:eastAsia="方正小标宋_GBK" w:cs="方正小标宋简体"/>
          <w:sz w:val="72"/>
          <w:szCs w:val="72"/>
          <w:lang w:val="en-US" w:eastAsia="zh-CN"/>
        </w:rPr>
        <w:t>秦皇岛市住房和城乡建设局</w:t>
      </w:r>
    </w:p>
    <w:p>
      <w:pPr>
        <w:autoSpaceDN w:val="0"/>
        <w:spacing w:line="960" w:lineRule="exact"/>
        <w:jc w:val="center"/>
        <w:outlineLvl w:val="0"/>
        <w:rPr>
          <w:rFonts w:ascii="方正小标宋简体" w:hAnsi="方正小标宋简体" w:eastAsia="方正小标宋_GBK" w:cs="方正小标宋简体"/>
          <w:sz w:val="72"/>
          <w:szCs w:val="72"/>
        </w:rPr>
      </w:pPr>
      <w:r>
        <w:rPr>
          <w:rFonts w:hint="eastAsia" w:ascii="方正小标宋简体" w:eastAsia="方正小标宋_GBK" w:cs="方正小标宋简体"/>
          <w:sz w:val="72"/>
          <w:szCs w:val="72"/>
        </w:rPr>
        <w:t>行政处罚裁量权基准</w:t>
      </w:r>
      <w:bookmarkEnd w:id="3"/>
      <w:bookmarkEnd w:id="4"/>
      <w:bookmarkEnd w:id="5"/>
      <w:bookmarkEnd w:id="6"/>
    </w:p>
    <w:p>
      <w:pPr>
        <w:pStyle w:val="12"/>
        <w:jc w:val="center"/>
        <w:rPr>
          <w:rFonts w:ascii="方正楷体_GBK" w:eastAsia="方正楷体_GBK" w:cs="方正楷体_GBK"/>
          <w:color w:val="auto"/>
          <w:kern w:val="2"/>
          <w:sz w:val="44"/>
          <w:szCs w:val="44"/>
        </w:rPr>
      </w:pPr>
    </w:p>
    <w:p>
      <w:pPr>
        <w:pStyle w:val="12"/>
        <w:jc w:val="center"/>
        <w:rPr>
          <w:rFonts w:ascii="方正楷体_GBK" w:eastAsia="方正楷体_GBK" w:cs="方正楷体_GBK"/>
          <w:color w:val="auto"/>
          <w:kern w:val="2"/>
          <w:sz w:val="44"/>
          <w:szCs w:val="44"/>
        </w:rPr>
      </w:pPr>
    </w:p>
    <w:p>
      <w:pPr>
        <w:pStyle w:val="12"/>
        <w:jc w:val="center"/>
        <w:rPr>
          <w:rFonts w:ascii="方正楷体_GBK" w:eastAsia="方正楷体_GBK" w:cs="方正楷体_GBK"/>
          <w:color w:val="auto"/>
          <w:kern w:val="2"/>
          <w:sz w:val="44"/>
          <w:szCs w:val="44"/>
        </w:rPr>
      </w:pPr>
    </w:p>
    <w:p>
      <w:pPr>
        <w:pStyle w:val="12"/>
        <w:jc w:val="center"/>
        <w:rPr>
          <w:rFonts w:ascii="方正楷体_GBK" w:eastAsia="方正楷体_GBK" w:cs="方正楷体_GBK"/>
          <w:color w:val="auto"/>
          <w:kern w:val="2"/>
          <w:sz w:val="44"/>
          <w:szCs w:val="44"/>
        </w:rPr>
      </w:pPr>
    </w:p>
    <w:p>
      <w:pPr>
        <w:pStyle w:val="2"/>
      </w:pPr>
    </w:p>
    <w:p>
      <w:pPr>
        <w:pStyle w:val="2"/>
      </w:pPr>
    </w:p>
    <w:p>
      <w:pPr>
        <w:pStyle w:val="2"/>
      </w:pPr>
    </w:p>
    <w:p>
      <w:pPr>
        <w:pStyle w:val="2"/>
      </w:pPr>
    </w:p>
    <w:p>
      <w:pPr>
        <w:autoSpaceDN w:val="0"/>
        <w:spacing w:after="157" w:line="560" w:lineRule="exact"/>
        <w:ind w:firstLine="6160" w:firstLineChars="1400"/>
        <w:jc w:val="both"/>
        <w:rPr>
          <w:rFonts w:hint="eastAsia" w:ascii="方正小标宋简体" w:hAnsi="方正小标宋简体" w:eastAsia="方正小标宋简体" w:cs="方正小标宋简体"/>
          <w:kern w:val="0"/>
          <w:sz w:val="44"/>
          <w:szCs w:val="44"/>
        </w:rPr>
      </w:pPr>
    </w:p>
    <w:p>
      <w:pPr>
        <w:autoSpaceDN w:val="0"/>
        <w:spacing w:after="157" w:line="560" w:lineRule="exact"/>
        <w:ind w:firstLine="6160" w:firstLineChars="1400"/>
        <w:jc w:val="both"/>
        <w:rPr>
          <w:rFonts w:hint="eastAsia" w:ascii="方正小标宋简体" w:hAnsi="方正小标宋简体" w:eastAsia="方正小标宋简体" w:cs="方正小标宋简体"/>
          <w:kern w:val="0"/>
          <w:sz w:val="44"/>
          <w:szCs w:val="44"/>
        </w:rPr>
      </w:pPr>
    </w:p>
    <w:p>
      <w:pPr>
        <w:autoSpaceDN w:val="0"/>
        <w:spacing w:after="157" w:line="560" w:lineRule="exact"/>
        <w:ind w:firstLine="6160" w:firstLineChars="1400"/>
        <w:jc w:val="both"/>
        <w:rPr>
          <w:rFonts w:hint="eastAsia" w:ascii="方正小标宋简体" w:hAnsi="方正小标宋简体" w:eastAsia="方正小标宋简体" w:cs="方正小标宋简体"/>
          <w:kern w:val="0"/>
          <w:sz w:val="44"/>
          <w:szCs w:val="44"/>
        </w:rPr>
      </w:pPr>
    </w:p>
    <w:p>
      <w:pPr>
        <w:autoSpaceDN w:val="0"/>
        <w:spacing w:after="157" w:line="560" w:lineRule="exact"/>
        <w:ind w:firstLine="6160" w:firstLineChars="1400"/>
        <w:jc w:val="both"/>
        <w:rPr>
          <w:rFonts w:ascii="方正黑体_GBK" w:eastAsia="方正黑体_GBK" w:cs="方正黑体_GBK"/>
          <w:b/>
          <w:bCs/>
          <w:kern w:val="0"/>
          <w:sz w:val="44"/>
          <w:szCs w:val="44"/>
        </w:rPr>
      </w:pPr>
      <w:r>
        <w:rPr>
          <w:rFonts w:hint="eastAsia" w:ascii="方正小标宋简体" w:hAnsi="方正小标宋简体" w:eastAsia="方正小标宋简体" w:cs="方正小标宋简体"/>
          <w:kern w:val="0"/>
          <w:sz w:val="44"/>
          <w:szCs w:val="44"/>
        </w:rPr>
        <w:t>说明</w:t>
      </w:r>
    </w:p>
    <w:p>
      <w:pPr>
        <w:pStyle w:val="16"/>
        <w:spacing w:line="520" w:lineRule="exact"/>
        <w:ind w:firstLine="640" w:firstLineChars="200"/>
        <w:rPr>
          <w:rFonts w:ascii="方正仿宋_GBK" w:eastAsia="方正仿宋_GBK" w:cs="方正仿宋_GBK"/>
          <w:color w:val="auto"/>
          <w:sz w:val="32"/>
          <w:szCs w:val="32"/>
          <w:lang w:val="en-US"/>
        </w:rPr>
      </w:pPr>
      <w:r>
        <w:rPr>
          <w:rFonts w:hint="eastAsia" w:ascii="方正仿宋_GBK" w:eastAsia="方正仿宋_GBK" w:cs="方正仿宋_GBK"/>
          <w:color w:val="auto"/>
          <w:sz w:val="32"/>
          <w:szCs w:val="32"/>
          <w:lang w:val="en-US"/>
        </w:rPr>
        <w:t>1.本基准涉及的行政处罚由县级以上具有行政处罚权的住房城乡建设部门</w:t>
      </w:r>
      <w:bookmarkStart w:id="10" w:name="_GoBack"/>
      <w:bookmarkEnd w:id="10"/>
      <w:r>
        <w:rPr>
          <w:rFonts w:hint="eastAsia" w:ascii="方正仿宋_GBK" w:eastAsia="方正仿宋_GBK" w:cs="方正仿宋_GBK"/>
          <w:color w:val="auto"/>
          <w:sz w:val="32"/>
          <w:szCs w:val="32"/>
          <w:lang w:val="en-US"/>
        </w:rPr>
        <w:t>实施。法律、行政法规另有规定的，从其规定。乡镇人民政府、街道办事处行使住房和城乡建设行政处罚裁量权的，适用本基准。</w:t>
      </w:r>
    </w:p>
    <w:p>
      <w:pPr>
        <w:pStyle w:val="16"/>
        <w:spacing w:line="520" w:lineRule="exact"/>
        <w:ind w:firstLine="640" w:firstLineChars="200"/>
        <w:rPr>
          <w:rFonts w:ascii="方正仿宋_GBK" w:eastAsia="方正仿宋_GBK" w:cs="方正仿宋_GBK"/>
          <w:color w:val="auto"/>
          <w:sz w:val="32"/>
          <w:szCs w:val="32"/>
          <w:lang w:val="en-US"/>
        </w:rPr>
      </w:pPr>
      <w:r>
        <w:rPr>
          <w:rFonts w:hint="eastAsia" w:ascii="方正仿宋_GBK" w:eastAsia="方正仿宋_GBK" w:cs="方正仿宋_GBK"/>
          <w:color w:val="auto"/>
          <w:sz w:val="32"/>
          <w:szCs w:val="32"/>
          <w:lang w:val="en-US"/>
        </w:rPr>
        <w:t>2.责令停业整顿、责令停止执业、暂扣许可证件、降低资质等级、吊销许可证件、较大数额罚款及其他具有一定社会影响的行政处罚决定应当依法公开。</w:t>
      </w:r>
    </w:p>
    <w:p>
      <w:pPr>
        <w:pStyle w:val="16"/>
        <w:spacing w:line="520" w:lineRule="exact"/>
        <w:ind w:firstLine="640" w:firstLineChars="200"/>
        <w:rPr>
          <w:rFonts w:ascii="方正仿宋_GBK" w:eastAsia="方正仿宋_GBK" w:cs="方正仿宋_GBK"/>
          <w:color w:val="auto"/>
          <w:sz w:val="32"/>
          <w:szCs w:val="32"/>
          <w:lang w:val="en-US"/>
        </w:rPr>
      </w:pPr>
      <w:r>
        <w:rPr>
          <w:rFonts w:hint="eastAsia" w:ascii="方正仿宋_GBK" w:eastAsia="方正仿宋_GBK" w:cs="方正仿宋_GBK"/>
          <w:color w:val="auto"/>
          <w:sz w:val="32"/>
          <w:szCs w:val="32"/>
          <w:lang w:val="en-US"/>
        </w:rPr>
        <w:t>3.本基准关于安全事故等级认定的依据为《生产安全事故报告和调查处理条例》。</w:t>
      </w:r>
    </w:p>
    <w:p>
      <w:pPr>
        <w:pStyle w:val="16"/>
        <w:spacing w:line="520" w:lineRule="exact"/>
        <w:ind w:firstLine="640" w:firstLineChars="200"/>
        <w:rPr>
          <w:rFonts w:ascii="方正仿宋_GBK" w:eastAsia="方正仿宋_GBK" w:cs="方正仿宋_GBK"/>
          <w:color w:val="auto"/>
          <w:sz w:val="32"/>
          <w:szCs w:val="32"/>
          <w:lang w:val="en-US"/>
        </w:rPr>
      </w:pPr>
      <w:r>
        <w:rPr>
          <w:rFonts w:hint="eastAsia" w:ascii="方正仿宋_GBK" w:eastAsia="方正仿宋_GBK" w:cs="方正仿宋_GBK"/>
          <w:color w:val="auto"/>
          <w:sz w:val="32"/>
          <w:szCs w:val="32"/>
          <w:lang w:val="en-US"/>
        </w:rPr>
        <w:t>4.本基准关于质量事故等级认定的依据为《关于做好房屋建筑和市政基础设施工程质量事故报告和调查处理工作的通知》（建质〔2010〕111号）。</w:t>
      </w:r>
    </w:p>
    <w:p>
      <w:pPr>
        <w:pStyle w:val="16"/>
        <w:spacing w:line="520" w:lineRule="exact"/>
        <w:ind w:firstLine="640" w:firstLineChars="200"/>
        <w:rPr>
          <w:rFonts w:ascii="方正仿宋_GBK" w:eastAsia="方正仿宋_GBK" w:cs="方正仿宋_GBK"/>
          <w:color w:val="auto"/>
          <w:sz w:val="32"/>
          <w:szCs w:val="32"/>
          <w:lang w:val="en-US"/>
        </w:rPr>
      </w:pPr>
      <w:r>
        <w:rPr>
          <w:rFonts w:hint="eastAsia" w:ascii="方正仿宋_GBK" w:eastAsia="方正仿宋_GBK" w:cs="方正仿宋_GBK"/>
          <w:color w:val="auto"/>
          <w:sz w:val="32"/>
          <w:szCs w:val="32"/>
          <w:lang w:val="en-US"/>
        </w:rPr>
        <w:t>5.本基准关于重大事故隐患判定的依据为《房屋市政工程生产安全重大事故隐患判定标准（2022版）》。</w:t>
      </w:r>
    </w:p>
    <w:p>
      <w:pPr>
        <w:pStyle w:val="16"/>
        <w:spacing w:line="520" w:lineRule="exact"/>
        <w:ind w:firstLine="640" w:firstLineChars="200"/>
        <w:rPr>
          <w:rFonts w:ascii="方正仿宋_GBK" w:eastAsia="方正仿宋_GBK" w:cs="方正仿宋_GBK"/>
          <w:color w:val="auto"/>
          <w:sz w:val="32"/>
          <w:szCs w:val="32"/>
          <w:lang w:val="en-US"/>
        </w:rPr>
      </w:pPr>
      <w:r>
        <w:rPr>
          <w:rFonts w:hint="eastAsia" w:ascii="方正仿宋_GBK" w:eastAsia="方正仿宋_GBK" w:cs="方正仿宋_GBK"/>
          <w:color w:val="auto"/>
          <w:sz w:val="32"/>
          <w:szCs w:val="32"/>
          <w:lang w:val="en-US"/>
        </w:rPr>
        <w:t>6.本基准关于工程质量缺陷规定的依据为《建筑工程施工质量验收统一标准》（GB50300-2013）。</w:t>
      </w:r>
    </w:p>
    <w:p>
      <w:pPr>
        <w:pStyle w:val="16"/>
        <w:spacing w:line="520" w:lineRule="exact"/>
        <w:ind w:firstLine="640" w:firstLineChars="200"/>
        <w:rPr>
          <w:rFonts w:ascii="方正仿宋_GBK" w:eastAsia="方正仿宋_GBK" w:cs="方正仿宋_GBK"/>
          <w:color w:val="auto"/>
          <w:sz w:val="32"/>
          <w:szCs w:val="32"/>
          <w:lang w:val="en-US"/>
        </w:rPr>
      </w:pPr>
      <w:r>
        <w:rPr>
          <w:rFonts w:hint="eastAsia" w:ascii="方正仿宋_GBK" w:eastAsia="方正仿宋_GBK" w:cs="方正仿宋_GBK"/>
          <w:color w:val="auto"/>
          <w:sz w:val="32"/>
          <w:szCs w:val="32"/>
          <w:lang w:val="en-US"/>
        </w:rPr>
        <w:t>7.本基准“违法情节和后果”栏目，十五日以内的日期规定均指工作日，三十日以上的日期规定均指自然日；具体档次中列明多项情形的，符合其中一项即可适用相应裁量幅度。</w:t>
      </w:r>
    </w:p>
    <w:p>
      <w:pPr>
        <w:pStyle w:val="2"/>
      </w:pPr>
    </w:p>
    <w:p>
      <w:pPr>
        <w:pStyle w:val="2"/>
      </w:pPr>
    </w:p>
    <w:p>
      <w:pPr>
        <w:pStyle w:val="2"/>
      </w:pPr>
    </w:p>
    <w:p>
      <w:pPr>
        <w:pStyle w:val="2"/>
      </w:pPr>
    </w:p>
    <w:p>
      <w:pPr>
        <w:pStyle w:val="2"/>
      </w:pPr>
    </w:p>
    <w:p>
      <w:pPr>
        <w:autoSpaceDN w:val="0"/>
        <w:outlineLvl w:val="0"/>
        <w:rPr>
          <w:rFonts w:ascii="方正黑体_GBK" w:eastAsia="方正黑体_GBK" w:cs="方正黑体_GBK"/>
          <w:sz w:val="32"/>
          <w:szCs w:val="32"/>
        </w:rPr>
      </w:pPr>
      <w:r>
        <w:rPr>
          <w:rFonts w:hint="eastAsia" w:ascii="方正黑体_GBK" w:eastAsia="方正黑体_GBK" w:cs="方正黑体_GBK"/>
          <w:sz w:val="32"/>
          <w:szCs w:val="32"/>
        </w:rPr>
        <w:t>《建设工程质量管理条例》</w:t>
      </w:r>
    </w:p>
    <w:tbl>
      <w:tblPr>
        <w:tblStyle w:val="8"/>
        <w:tblW w:w="14345" w:type="dxa"/>
        <w:jc w:val="center"/>
        <w:tblLayout w:type="fixed"/>
        <w:tblCellMar>
          <w:top w:w="0" w:type="dxa"/>
          <w:left w:w="10" w:type="dxa"/>
          <w:bottom w:w="0" w:type="dxa"/>
          <w:right w:w="10" w:type="dxa"/>
        </w:tblCellMar>
      </w:tblPr>
      <w:tblGrid>
        <w:gridCol w:w="680"/>
        <w:gridCol w:w="1361"/>
        <w:gridCol w:w="1134"/>
        <w:gridCol w:w="1191"/>
        <w:gridCol w:w="3288"/>
        <w:gridCol w:w="1191"/>
        <w:gridCol w:w="1928"/>
        <w:gridCol w:w="2381"/>
        <w:gridCol w:w="1191"/>
      </w:tblGrid>
      <w:tr>
        <w:tblPrEx>
          <w:tblCellMar>
            <w:top w:w="0" w:type="dxa"/>
            <w:left w:w="10" w:type="dxa"/>
            <w:bottom w:w="0" w:type="dxa"/>
            <w:right w:w="10" w:type="dxa"/>
          </w:tblCellMar>
        </w:tblPrEx>
        <w:trPr>
          <w:trHeight w:val="454" w:hRule="atLeast"/>
          <w:jc w:val="center"/>
        </w:trPr>
        <w:tc>
          <w:tcPr>
            <w:tcW w:w="680" w:type="dxa"/>
            <w:tcBorders>
              <w:top w:val="single" w:color="auto" w:sz="4" w:space="0"/>
              <w:left w:val="single" w:color="000000" w:sz="4" w:space="0"/>
              <w:bottom w:val="single" w:color="auto" w:sz="4" w:space="0"/>
              <w:right w:val="single" w:color="000000" w:sz="4" w:space="0"/>
            </w:tcBorders>
            <w:tcMar>
              <w:top w:w="0" w:type="dxa"/>
              <w:left w:w="108" w:type="dxa"/>
              <w:bottom w:w="0" w:type="dxa"/>
              <w:right w:w="108" w:type="dxa"/>
            </w:tcMar>
            <w:vAlign w:val="center"/>
          </w:tcPr>
          <w:p>
            <w:pPr>
              <w:widowControl/>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序号</w:t>
            </w:r>
          </w:p>
        </w:tc>
        <w:tc>
          <w:tcPr>
            <w:tcW w:w="1361" w:type="dxa"/>
            <w:tcBorders>
              <w:top w:val="single" w:color="auto" w:sz="4" w:space="0"/>
              <w:left w:val="single" w:color="000000" w:sz="4" w:space="0"/>
              <w:bottom w:val="single" w:color="auto" w:sz="4" w:space="0"/>
              <w:right w:val="single" w:color="000000" w:sz="4" w:space="0"/>
            </w:tcBorders>
            <w:tcMar>
              <w:top w:w="0" w:type="dxa"/>
              <w:left w:w="108" w:type="dxa"/>
              <w:bottom w:w="0" w:type="dxa"/>
              <w:right w:w="108" w:type="dxa"/>
            </w:tcMar>
            <w:vAlign w:val="center"/>
          </w:tcPr>
          <w:p>
            <w:pPr>
              <w:widowControl/>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基准编号</w:t>
            </w:r>
          </w:p>
        </w:tc>
        <w:tc>
          <w:tcPr>
            <w:tcW w:w="1134" w:type="dxa"/>
            <w:tcBorders>
              <w:top w:val="single" w:color="auto" w:sz="4" w:space="0"/>
              <w:left w:val="single" w:color="000000" w:sz="4" w:space="0"/>
              <w:bottom w:val="single" w:color="auto" w:sz="4" w:space="0"/>
              <w:right w:val="single" w:color="000000" w:sz="4" w:space="0"/>
            </w:tcBorders>
            <w:tcMar>
              <w:top w:w="0" w:type="dxa"/>
              <w:left w:w="108" w:type="dxa"/>
              <w:bottom w:w="0" w:type="dxa"/>
              <w:right w:w="108" w:type="dxa"/>
            </w:tcMar>
            <w:vAlign w:val="center"/>
          </w:tcPr>
          <w:p>
            <w:pPr>
              <w:widowControl/>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违法行为</w:t>
            </w:r>
          </w:p>
        </w:tc>
        <w:tc>
          <w:tcPr>
            <w:tcW w:w="1191" w:type="dxa"/>
            <w:tcBorders>
              <w:top w:val="single" w:color="auto" w:sz="4" w:space="0"/>
              <w:left w:val="single" w:color="000000" w:sz="4" w:space="0"/>
              <w:bottom w:val="single" w:color="auto" w:sz="4" w:space="0"/>
              <w:right w:val="single" w:color="000000" w:sz="4" w:space="0"/>
            </w:tcBorders>
            <w:tcMar>
              <w:top w:w="0" w:type="dxa"/>
              <w:left w:w="108" w:type="dxa"/>
              <w:bottom w:w="0" w:type="dxa"/>
              <w:right w:w="108" w:type="dxa"/>
            </w:tcMar>
            <w:vAlign w:val="center"/>
          </w:tcPr>
          <w:p>
            <w:pPr>
              <w:widowControl/>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违反条款</w:t>
            </w:r>
          </w:p>
        </w:tc>
        <w:tc>
          <w:tcPr>
            <w:tcW w:w="3288" w:type="dxa"/>
            <w:tcBorders>
              <w:top w:val="single" w:color="auto" w:sz="4" w:space="0"/>
              <w:left w:val="single" w:color="000000" w:sz="4" w:space="0"/>
              <w:bottom w:val="single" w:color="auto" w:sz="4" w:space="0"/>
              <w:right w:val="single" w:color="000000" w:sz="4" w:space="0"/>
            </w:tcBorders>
            <w:tcMar>
              <w:top w:w="0" w:type="dxa"/>
              <w:left w:w="108" w:type="dxa"/>
              <w:bottom w:w="0" w:type="dxa"/>
              <w:right w:w="108" w:type="dxa"/>
            </w:tcMar>
            <w:vAlign w:val="center"/>
          </w:tcPr>
          <w:p>
            <w:pPr>
              <w:widowControl/>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处罚依据</w:t>
            </w:r>
          </w:p>
        </w:tc>
        <w:tc>
          <w:tcPr>
            <w:tcW w:w="1191" w:type="dxa"/>
            <w:tcBorders>
              <w:top w:val="single" w:color="auto" w:sz="4" w:space="0"/>
              <w:left w:val="single" w:color="000000" w:sz="4" w:space="0"/>
              <w:bottom w:val="single" w:color="auto" w:sz="4" w:space="0"/>
              <w:right w:val="single" w:color="000000" w:sz="4" w:space="0"/>
            </w:tcBorders>
            <w:tcMar>
              <w:top w:w="0" w:type="dxa"/>
              <w:left w:w="108" w:type="dxa"/>
              <w:bottom w:w="0" w:type="dxa"/>
              <w:right w:w="108" w:type="dxa"/>
            </w:tcMar>
            <w:vAlign w:val="center"/>
          </w:tcPr>
          <w:p>
            <w:pPr>
              <w:widowControl/>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裁量幅度</w:t>
            </w:r>
          </w:p>
        </w:tc>
        <w:tc>
          <w:tcPr>
            <w:tcW w:w="1928" w:type="dxa"/>
            <w:tcBorders>
              <w:top w:val="single" w:color="auto" w:sz="4" w:space="0"/>
              <w:left w:val="single" w:color="000000" w:sz="4" w:space="0"/>
              <w:bottom w:val="single" w:color="auto" w:sz="4" w:space="0"/>
              <w:right w:val="single" w:color="000000" w:sz="4" w:space="0"/>
            </w:tcBorders>
            <w:tcMar>
              <w:top w:w="0" w:type="dxa"/>
              <w:left w:w="108" w:type="dxa"/>
              <w:bottom w:w="0" w:type="dxa"/>
              <w:right w:w="108" w:type="dxa"/>
            </w:tcMar>
            <w:vAlign w:val="center"/>
          </w:tcPr>
          <w:p>
            <w:pPr>
              <w:widowControl/>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违法情节和后果</w:t>
            </w:r>
          </w:p>
        </w:tc>
        <w:tc>
          <w:tcPr>
            <w:tcW w:w="2381" w:type="dxa"/>
            <w:tcBorders>
              <w:top w:val="single" w:color="auto" w:sz="4" w:space="0"/>
              <w:left w:val="single" w:color="000000" w:sz="4" w:space="0"/>
              <w:bottom w:val="single" w:color="auto" w:sz="4" w:space="0"/>
              <w:right w:val="single" w:color="000000" w:sz="4" w:space="0"/>
            </w:tcBorders>
            <w:tcMar>
              <w:top w:w="0" w:type="dxa"/>
              <w:left w:w="108" w:type="dxa"/>
              <w:bottom w:w="0" w:type="dxa"/>
              <w:right w:w="108" w:type="dxa"/>
            </w:tcMar>
            <w:vAlign w:val="center"/>
          </w:tcPr>
          <w:p>
            <w:pPr>
              <w:widowControl/>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处罚裁量基准</w:t>
            </w:r>
          </w:p>
        </w:tc>
        <w:tc>
          <w:tcPr>
            <w:tcW w:w="1191" w:type="dxa"/>
            <w:tcBorders>
              <w:top w:val="single" w:color="auto" w:sz="4" w:space="0"/>
              <w:left w:val="single" w:color="000000" w:sz="4" w:space="0"/>
              <w:bottom w:val="single" w:color="auto" w:sz="4" w:space="0"/>
              <w:right w:val="single" w:color="000000" w:sz="4" w:space="0"/>
            </w:tcBorders>
            <w:tcMar>
              <w:top w:w="0" w:type="dxa"/>
              <w:left w:w="108" w:type="dxa"/>
              <w:bottom w:w="0" w:type="dxa"/>
              <w:right w:w="108" w:type="dxa"/>
            </w:tcMar>
            <w:vAlign w:val="center"/>
          </w:tcPr>
          <w:p>
            <w:pPr>
              <w:widowControl/>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其他处理</w:t>
            </w:r>
          </w:p>
        </w:tc>
      </w:tr>
      <w:tr>
        <w:tblPrEx>
          <w:tblCellMar>
            <w:top w:w="0" w:type="dxa"/>
            <w:left w:w="10" w:type="dxa"/>
            <w:bottom w:w="0" w:type="dxa"/>
            <w:right w:w="10" w:type="dxa"/>
          </w:tblCellMar>
        </w:tblPrEx>
        <w:trPr>
          <w:cantSplit/>
          <w:trHeight w:val="2381" w:hRule="atLeast"/>
          <w:jc w:val="center"/>
        </w:trPr>
        <w:tc>
          <w:tcPr>
            <w:tcW w:w="680"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jc w:val="center"/>
              <w:rPr>
                <w:rFonts w:ascii="方正仿宋简体" w:eastAsia="方正仿宋简体" w:cs="方正仿宋简体"/>
                <w:szCs w:val="21"/>
              </w:rPr>
            </w:pPr>
            <w:r>
              <w:rPr>
                <w:rFonts w:hint="eastAsia" w:ascii="方正仿宋简体" w:eastAsia="方正仿宋_GBK" w:cs="方正仿宋简体"/>
                <w:szCs w:val="21"/>
              </w:rPr>
              <w:t>6</w:t>
            </w:r>
          </w:p>
        </w:tc>
        <w:tc>
          <w:tcPr>
            <w:tcW w:w="1361"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jc w:val="center"/>
              <w:rPr>
                <w:rFonts w:ascii="方正仿宋简体" w:eastAsia="方正仿宋简体" w:cs="方正仿宋简体"/>
                <w:szCs w:val="21"/>
              </w:rPr>
            </w:pPr>
            <w:r>
              <w:rPr>
                <w:rFonts w:hint="eastAsia" w:ascii="方正仿宋简体" w:eastAsia="方正仿宋_GBK" w:cs="方正仿宋简体"/>
                <w:szCs w:val="21"/>
              </w:rPr>
              <w:t>G010105604</w:t>
            </w:r>
          </w:p>
        </w:tc>
        <w:tc>
          <w:tcPr>
            <w:tcW w:w="113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rPr>
                <w:rFonts w:ascii="方正仿宋简体" w:eastAsia="方正仿宋简体" w:cs="方正仿宋简体"/>
                <w:szCs w:val="21"/>
              </w:rPr>
            </w:pPr>
            <w:r>
              <w:rPr>
                <w:rFonts w:hint="eastAsia" w:ascii="方正仿宋简体" w:eastAsia="方正仿宋_GBK" w:cs="方正仿宋简体"/>
                <w:szCs w:val="21"/>
              </w:rPr>
              <w:t>施工图设计文件未经审查或者审查不合格，擅自施工的</w:t>
            </w:r>
          </w:p>
        </w:tc>
        <w:tc>
          <w:tcPr>
            <w:tcW w:w="1191"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rPr>
                <w:rFonts w:ascii="方正仿宋简体" w:eastAsia="方正仿宋简体" w:cs="方正仿宋简体"/>
                <w:szCs w:val="21"/>
              </w:rPr>
            </w:pPr>
            <w:r>
              <w:rPr>
                <w:rFonts w:hint="eastAsia" w:ascii="方正仿宋简体" w:eastAsia="方正仿宋_GBK" w:cs="方正仿宋简体"/>
                <w:szCs w:val="21"/>
              </w:rPr>
              <w:t>《建设工程质量管理条例》第十一条第二款 施工图设计文件未经审查批准的，不得使用。</w:t>
            </w:r>
          </w:p>
        </w:tc>
        <w:tc>
          <w:tcPr>
            <w:tcW w:w="3288"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260" w:lineRule="exact"/>
              <w:rPr>
                <w:rFonts w:ascii="方正仿宋简体" w:eastAsia="方正仿宋_GBK" w:cs="方正仿宋简体"/>
                <w:szCs w:val="21"/>
              </w:rPr>
            </w:pPr>
            <w:r>
              <w:rPr>
                <w:rFonts w:hint="eastAsia" w:ascii="方正仿宋简体" w:eastAsia="方正仿宋_GBK" w:cs="方正仿宋简体"/>
                <w:szCs w:val="21"/>
              </w:rPr>
              <w:t>《建设工程质量管理条例》第五十六条 违反本条例规定，建设单位有下列行为之一的，责令改正，处20万元以上50万元以下的罚款：</w:t>
            </w:r>
          </w:p>
          <w:p>
            <w:pPr>
              <w:widowControl/>
              <w:autoSpaceDN w:val="0"/>
              <w:spacing w:line="260" w:lineRule="exact"/>
              <w:rPr>
                <w:rFonts w:ascii="方正仿宋简体" w:eastAsia="方正仿宋_GBK" w:cs="方正仿宋简体"/>
                <w:szCs w:val="21"/>
              </w:rPr>
            </w:pPr>
            <w:r>
              <w:rPr>
                <w:rFonts w:hint="eastAsia" w:ascii="方正仿宋简体" w:eastAsia="方正仿宋_GBK" w:cs="方正仿宋简体"/>
                <w:szCs w:val="21"/>
              </w:rPr>
              <w:t>（四）施工图设计文件未经审查或者审查不合格，擅自施工的；</w:t>
            </w:r>
          </w:p>
          <w:p>
            <w:pPr>
              <w:widowControl/>
              <w:autoSpaceDN w:val="0"/>
              <w:spacing w:line="260" w:lineRule="exact"/>
              <w:rPr>
                <w:rFonts w:ascii="方正仿宋简体" w:eastAsia="方正仿宋_GBK" w:cs="方正仿宋简体"/>
                <w:szCs w:val="21"/>
              </w:rPr>
            </w:pPr>
            <w:r>
              <w:rPr>
                <w:rFonts w:hint="eastAsia" w:ascii="方正仿宋简体" w:eastAsia="方正仿宋_GBK" w:cs="方正仿宋简体"/>
                <w:szCs w:val="21"/>
              </w:rPr>
              <w:t>第七十三条 依照本条例规定，给予单位罚款处罚的，对单位直接负责的主管人员和其他直接责任人员处单位罚款数额百分之五以上百分之十以下的罚款。</w:t>
            </w:r>
          </w:p>
          <w:p>
            <w:pPr>
              <w:widowControl/>
              <w:autoSpaceDN w:val="0"/>
              <w:spacing w:line="260" w:lineRule="exact"/>
              <w:rPr>
                <w:rFonts w:ascii="方正仿宋简体" w:eastAsia="方正仿宋_GBK" w:cs="方正仿宋简体"/>
                <w:szCs w:val="21"/>
              </w:rPr>
            </w:pPr>
          </w:p>
          <w:p>
            <w:pPr>
              <w:widowControl/>
              <w:autoSpaceDN w:val="0"/>
              <w:spacing w:line="260" w:lineRule="exact"/>
              <w:rPr>
                <w:rFonts w:ascii="方正仿宋简体" w:eastAsia="方正仿宋_GBK" w:cs="方正仿宋简体"/>
                <w:szCs w:val="21"/>
              </w:rPr>
            </w:pPr>
            <w:r>
              <w:rPr>
                <w:rFonts w:hint="eastAsia" w:ascii="方正仿宋简体" w:eastAsia="方正仿宋_GBK" w:cs="方正仿宋简体"/>
                <w:szCs w:val="21"/>
              </w:rPr>
              <w:t>《超限高层建筑工程抗震设防管理规定》第十七条 建设单位违反本规定，施工图设计文件未审查或者审查不合格，擅自施工的，责令改正，处以20万元以上50万元以下的罚款。</w:t>
            </w:r>
          </w:p>
          <w:p>
            <w:pPr>
              <w:widowControl/>
              <w:autoSpaceDN w:val="0"/>
              <w:spacing w:line="260" w:lineRule="exact"/>
              <w:rPr>
                <w:rFonts w:ascii="方正仿宋简体" w:eastAsia="方正仿宋_GBK" w:cs="方正仿宋简体"/>
                <w:szCs w:val="21"/>
              </w:rPr>
            </w:pPr>
          </w:p>
          <w:p>
            <w:pPr>
              <w:widowControl/>
              <w:autoSpaceDN w:val="0"/>
              <w:spacing w:line="260" w:lineRule="exact"/>
              <w:rPr>
                <w:rFonts w:ascii="方正仿宋简体" w:eastAsia="方正仿宋_GBK" w:cs="方正仿宋简体"/>
                <w:szCs w:val="21"/>
              </w:rPr>
            </w:pPr>
            <w:r>
              <w:rPr>
                <w:rFonts w:hint="eastAsia" w:ascii="方正仿宋简体" w:eastAsia="方正仿宋_GBK" w:cs="方正仿宋简体"/>
                <w:szCs w:val="21"/>
              </w:rPr>
              <w:t>《河北省建设工程勘察设计管理条例》第四十二条 违反本条例规定，建设单位有下列行为之一的，责令改正，处20万元以上50万元以下的罚款：</w:t>
            </w:r>
          </w:p>
          <w:p>
            <w:pPr>
              <w:widowControl/>
              <w:autoSpaceDN w:val="0"/>
              <w:spacing w:line="260" w:lineRule="exact"/>
              <w:rPr>
                <w:rFonts w:ascii="方正仿宋简体" w:eastAsia="方正仿宋简体" w:cs="方正仿宋简体"/>
                <w:szCs w:val="21"/>
              </w:rPr>
            </w:pPr>
            <w:r>
              <w:rPr>
                <w:rFonts w:hint="eastAsia" w:ascii="方正仿宋简体" w:eastAsia="方正仿宋_GBK" w:cs="方正仿宋简体"/>
                <w:szCs w:val="21"/>
              </w:rPr>
              <w:t>（四）施工图设计文件未经审查或者审查不合格，擅自施工的；</w:t>
            </w:r>
          </w:p>
        </w:tc>
        <w:tc>
          <w:tcPr>
            <w:tcW w:w="119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jc w:val="center"/>
              <w:rPr>
                <w:rFonts w:ascii="方正仿宋简体" w:eastAsia="方正仿宋简体" w:cs="方正仿宋简体"/>
                <w:szCs w:val="21"/>
              </w:rPr>
            </w:pPr>
            <w:r>
              <w:rPr>
                <w:rFonts w:hint="eastAsia" w:ascii="方正仿宋简体" w:eastAsia="方正仿宋_GBK" w:cs="方正仿宋简体"/>
                <w:szCs w:val="21"/>
              </w:rPr>
              <w:t>较轻</w:t>
            </w:r>
          </w:p>
        </w:tc>
        <w:tc>
          <w:tcPr>
            <w:tcW w:w="192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rPr>
                <w:rFonts w:ascii="方正仿宋简体" w:eastAsia="方正仿宋简体" w:cs="方正仿宋简体"/>
                <w:szCs w:val="21"/>
              </w:rPr>
            </w:pPr>
            <w:r>
              <w:rPr>
                <w:rFonts w:hint="eastAsia" w:ascii="方正仿宋简体" w:eastAsia="方正仿宋_GBK" w:cs="方正仿宋简体"/>
                <w:kern w:val="0"/>
                <w:szCs w:val="21"/>
              </w:rPr>
              <w:t>处于施工初期或地基基础施工阶段的</w:t>
            </w:r>
          </w:p>
        </w:tc>
        <w:tc>
          <w:tcPr>
            <w:tcW w:w="238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rPr>
                <w:rFonts w:ascii="方正仿宋简体" w:eastAsia="方正仿宋简体" w:cs="方正仿宋简体"/>
                <w:szCs w:val="21"/>
              </w:rPr>
            </w:pPr>
            <w:r>
              <w:rPr>
                <w:rFonts w:hint="eastAsia" w:ascii="方正仿宋简体" w:eastAsia="方正仿宋_GBK" w:cs="方正仿宋简体"/>
                <w:szCs w:val="21"/>
              </w:rPr>
              <w:t>处20万元以上25万元以下的罚款，对单位直接负责的主管人员和其他直接责任人员处单位罚款数额的百分之五以上百分之六点五以下的罚款</w:t>
            </w:r>
          </w:p>
        </w:tc>
        <w:tc>
          <w:tcPr>
            <w:tcW w:w="1191"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jc w:val="center"/>
              <w:rPr>
                <w:rFonts w:ascii="方正仿宋简体" w:eastAsia="方正仿宋简体" w:cs="方正仿宋简体"/>
                <w:szCs w:val="21"/>
              </w:rPr>
            </w:pPr>
            <w:r>
              <w:rPr>
                <w:rFonts w:hint="eastAsia" w:ascii="方正仿宋简体" w:eastAsia="方正仿宋_GBK" w:cs="方正仿宋简体"/>
                <w:szCs w:val="21"/>
              </w:rPr>
              <w:t>责令改正</w:t>
            </w:r>
          </w:p>
        </w:tc>
      </w:tr>
      <w:tr>
        <w:tblPrEx>
          <w:tblCellMar>
            <w:top w:w="0" w:type="dxa"/>
            <w:left w:w="10" w:type="dxa"/>
            <w:bottom w:w="0" w:type="dxa"/>
            <w:right w:w="10" w:type="dxa"/>
          </w:tblCellMar>
        </w:tblPrEx>
        <w:trPr>
          <w:cantSplit/>
          <w:trHeight w:val="2381" w:hRule="atLeast"/>
          <w:jc w:val="center"/>
        </w:trPr>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szCs w:val="21"/>
              </w:rPr>
            </w:pPr>
          </w:p>
        </w:tc>
        <w:tc>
          <w:tcPr>
            <w:tcW w:w="13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szCs w:val="21"/>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szCs w:val="21"/>
              </w:rPr>
            </w:pPr>
          </w:p>
        </w:tc>
        <w:tc>
          <w:tcPr>
            <w:tcW w:w="11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szCs w:val="21"/>
              </w:rPr>
            </w:pPr>
          </w:p>
        </w:tc>
        <w:tc>
          <w:tcPr>
            <w:tcW w:w="32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szCs w:val="21"/>
              </w:rPr>
            </w:pPr>
          </w:p>
        </w:tc>
        <w:tc>
          <w:tcPr>
            <w:tcW w:w="119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jc w:val="center"/>
              <w:rPr>
                <w:rFonts w:ascii="方正仿宋简体" w:eastAsia="方正仿宋简体" w:cs="方正仿宋简体"/>
                <w:szCs w:val="21"/>
              </w:rPr>
            </w:pPr>
            <w:r>
              <w:rPr>
                <w:rFonts w:hint="eastAsia" w:ascii="方正仿宋简体" w:eastAsia="方正仿宋_GBK" w:cs="方正仿宋简体"/>
                <w:szCs w:val="21"/>
              </w:rPr>
              <w:t>较重</w:t>
            </w:r>
          </w:p>
        </w:tc>
        <w:tc>
          <w:tcPr>
            <w:tcW w:w="192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rPr>
                <w:rFonts w:ascii="方正仿宋简体" w:eastAsia="方正仿宋简体" w:cs="方正仿宋简体"/>
                <w:szCs w:val="21"/>
              </w:rPr>
            </w:pPr>
            <w:r>
              <w:rPr>
                <w:rFonts w:hint="eastAsia" w:ascii="方正仿宋简体" w:eastAsia="方正仿宋_GBK" w:cs="方正仿宋简体"/>
                <w:kern w:val="0"/>
                <w:szCs w:val="21"/>
              </w:rPr>
              <w:t>处于施工中期或主体结构施工阶段的</w:t>
            </w:r>
          </w:p>
        </w:tc>
        <w:tc>
          <w:tcPr>
            <w:tcW w:w="238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rPr>
                <w:rFonts w:ascii="方正仿宋简体" w:eastAsia="方正仿宋简体" w:cs="方正仿宋简体"/>
                <w:szCs w:val="21"/>
              </w:rPr>
            </w:pPr>
            <w:r>
              <w:rPr>
                <w:rFonts w:hint="eastAsia" w:ascii="方正仿宋简体" w:eastAsia="方正仿宋_GBK" w:cs="方正仿宋简体"/>
                <w:szCs w:val="21"/>
              </w:rPr>
              <w:t>处25万元以上40万元以下的罚款，对单位直接负责的主管人员和其他直接责任人员处单位罚款数额的百分之六点五以上百分之八点五以下的罚款</w:t>
            </w:r>
          </w:p>
        </w:tc>
        <w:tc>
          <w:tcPr>
            <w:tcW w:w="11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szCs w:val="21"/>
              </w:rPr>
            </w:pPr>
          </w:p>
        </w:tc>
      </w:tr>
      <w:tr>
        <w:tblPrEx>
          <w:tblCellMar>
            <w:top w:w="0" w:type="dxa"/>
            <w:left w:w="10" w:type="dxa"/>
            <w:bottom w:w="0" w:type="dxa"/>
            <w:right w:w="10" w:type="dxa"/>
          </w:tblCellMar>
        </w:tblPrEx>
        <w:trPr>
          <w:cantSplit/>
          <w:trHeight w:val="2381" w:hRule="atLeast"/>
          <w:jc w:val="center"/>
        </w:trPr>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szCs w:val="21"/>
              </w:rPr>
            </w:pPr>
          </w:p>
        </w:tc>
        <w:tc>
          <w:tcPr>
            <w:tcW w:w="13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szCs w:val="21"/>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szCs w:val="21"/>
              </w:rPr>
            </w:pPr>
          </w:p>
        </w:tc>
        <w:tc>
          <w:tcPr>
            <w:tcW w:w="11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szCs w:val="21"/>
              </w:rPr>
            </w:pPr>
          </w:p>
        </w:tc>
        <w:tc>
          <w:tcPr>
            <w:tcW w:w="32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szCs w:val="21"/>
              </w:rPr>
            </w:pPr>
          </w:p>
        </w:tc>
        <w:tc>
          <w:tcPr>
            <w:tcW w:w="119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jc w:val="center"/>
              <w:rPr>
                <w:rFonts w:ascii="方正仿宋简体" w:eastAsia="方正仿宋简体" w:cs="方正仿宋简体"/>
                <w:szCs w:val="21"/>
              </w:rPr>
            </w:pPr>
            <w:r>
              <w:rPr>
                <w:rFonts w:hint="eastAsia" w:ascii="方正仿宋简体" w:eastAsia="方正仿宋_GBK" w:cs="方正仿宋简体"/>
                <w:szCs w:val="21"/>
              </w:rPr>
              <w:t>严重</w:t>
            </w:r>
          </w:p>
        </w:tc>
        <w:tc>
          <w:tcPr>
            <w:tcW w:w="192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rPr>
                <w:rFonts w:ascii="方正仿宋简体" w:eastAsia="方正仿宋简体" w:cs="方正仿宋简体"/>
                <w:szCs w:val="21"/>
              </w:rPr>
            </w:pPr>
            <w:r>
              <w:rPr>
                <w:rFonts w:hint="eastAsia" w:ascii="方正仿宋简体" w:eastAsia="方正仿宋_GBK" w:cs="方正仿宋简体"/>
                <w:kern w:val="0"/>
                <w:szCs w:val="21"/>
              </w:rPr>
              <w:t>处于施工后期或工程主体已经完工的；</w:t>
            </w:r>
            <w:r>
              <w:rPr>
                <w:rFonts w:hint="eastAsia" w:ascii="方正仿宋简体" w:eastAsia="方正仿宋_GBK" w:cs="方正仿宋简体"/>
                <w:szCs w:val="21"/>
              </w:rPr>
              <w:t>发生质量安全事故的</w:t>
            </w:r>
          </w:p>
        </w:tc>
        <w:tc>
          <w:tcPr>
            <w:tcW w:w="238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rPr>
                <w:rFonts w:ascii="方正仿宋简体" w:eastAsia="方正仿宋简体" w:cs="方正仿宋简体"/>
                <w:szCs w:val="21"/>
              </w:rPr>
            </w:pPr>
            <w:r>
              <w:rPr>
                <w:rFonts w:hint="eastAsia" w:ascii="方正仿宋简体" w:eastAsia="方正仿宋_GBK" w:cs="方正仿宋简体"/>
                <w:szCs w:val="21"/>
              </w:rPr>
              <w:t>处40万元以上50万元以下的罚款，对单位直接负责的主管人员和其他直接责任人员处单位罚款数额的百分之八点五以上百分之十以下的罚款</w:t>
            </w:r>
          </w:p>
        </w:tc>
        <w:tc>
          <w:tcPr>
            <w:tcW w:w="11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szCs w:val="21"/>
              </w:rPr>
            </w:pPr>
          </w:p>
        </w:tc>
      </w:tr>
    </w:tbl>
    <w:p>
      <w:pPr>
        <w:autoSpaceDN w:val="0"/>
        <w:rPr>
          <w:rFonts w:ascii="方正黑体_GBK" w:eastAsia="方正黑体_GBK" w:cs="方正黑体_GBK"/>
          <w:sz w:val="32"/>
          <w:szCs w:val="32"/>
        </w:rPr>
      </w:pPr>
    </w:p>
    <w:p>
      <w:pPr>
        <w:autoSpaceDN w:val="0"/>
        <w:rPr>
          <w:rFonts w:ascii="方正黑体_GBK" w:eastAsia="方正黑体_GBK" w:cs="方正黑体_GBK"/>
          <w:sz w:val="32"/>
          <w:szCs w:val="32"/>
        </w:rPr>
      </w:pPr>
    </w:p>
    <w:p>
      <w:pPr>
        <w:autoSpaceDN w:val="0"/>
        <w:rPr>
          <w:rFonts w:ascii="方正黑体_GBK" w:eastAsia="方正黑体_GBK" w:cs="方正黑体_GBK"/>
          <w:sz w:val="32"/>
          <w:szCs w:val="32"/>
        </w:rPr>
      </w:pPr>
      <w:r>
        <w:rPr>
          <w:rFonts w:hint="eastAsia" w:ascii="方正黑体_GBK" w:eastAsia="方正黑体_GBK" w:cs="方正黑体_GBK"/>
          <w:sz w:val="32"/>
          <w:szCs w:val="32"/>
        </w:rPr>
        <w:t>《建设工程质量管理条例》</w:t>
      </w:r>
    </w:p>
    <w:tbl>
      <w:tblPr>
        <w:tblStyle w:val="8"/>
        <w:tblW w:w="1457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80"/>
        <w:gridCol w:w="1361"/>
        <w:gridCol w:w="1134"/>
        <w:gridCol w:w="1984"/>
        <w:gridCol w:w="2551"/>
        <w:gridCol w:w="1191"/>
        <w:gridCol w:w="1928"/>
        <w:gridCol w:w="2551"/>
        <w:gridCol w:w="119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序号</w:t>
            </w:r>
          </w:p>
        </w:tc>
        <w:tc>
          <w:tcPr>
            <w:tcW w:w="1361" w:type="dxa"/>
            <w:tcBorders>
              <w:top w:val="single" w:color="auto" w:sz="4" w:space="0"/>
              <w:left w:val="single" w:color="auto" w:sz="4" w:space="0"/>
              <w:bottom w:val="single" w:color="auto" w:sz="4" w:space="0"/>
              <w:right w:val="single" w:color="auto" w:sz="4" w:space="0"/>
            </w:tcBorders>
            <w:vAlign w:val="center"/>
          </w:tcPr>
          <w:p>
            <w:pPr>
              <w:widowControl/>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基准编号</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违法行为</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违反条款</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处罚依据</w:t>
            </w:r>
          </w:p>
        </w:tc>
        <w:tc>
          <w:tcPr>
            <w:tcW w:w="1191" w:type="dxa"/>
            <w:tcBorders>
              <w:top w:val="single" w:color="auto" w:sz="4" w:space="0"/>
              <w:left w:val="single" w:color="auto" w:sz="4" w:space="0"/>
              <w:bottom w:val="single" w:color="auto" w:sz="4" w:space="0"/>
              <w:right w:val="single" w:color="auto" w:sz="4" w:space="0"/>
            </w:tcBorders>
            <w:vAlign w:val="center"/>
          </w:tcPr>
          <w:p>
            <w:pPr>
              <w:widowControl/>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裁量幅度</w:t>
            </w:r>
          </w:p>
        </w:tc>
        <w:tc>
          <w:tcPr>
            <w:tcW w:w="1928" w:type="dxa"/>
            <w:tcBorders>
              <w:top w:val="single" w:color="auto" w:sz="4" w:space="0"/>
              <w:left w:val="single" w:color="auto" w:sz="4" w:space="0"/>
              <w:bottom w:val="single" w:color="auto" w:sz="4" w:space="0"/>
              <w:right w:val="single" w:color="auto" w:sz="4" w:space="0"/>
            </w:tcBorders>
            <w:vAlign w:val="center"/>
          </w:tcPr>
          <w:p>
            <w:pPr>
              <w:widowControl/>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违法情节和后果</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处罚裁量基准</w:t>
            </w:r>
          </w:p>
        </w:tc>
        <w:tc>
          <w:tcPr>
            <w:tcW w:w="1191" w:type="dxa"/>
            <w:tcBorders>
              <w:top w:val="single" w:color="auto" w:sz="4" w:space="0"/>
              <w:left w:val="single" w:color="auto" w:sz="4" w:space="0"/>
              <w:bottom w:val="single" w:color="auto" w:sz="4" w:space="0"/>
              <w:right w:val="single" w:color="auto" w:sz="4" w:space="0"/>
            </w:tcBorders>
            <w:vAlign w:val="center"/>
          </w:tcPr>
          <w:p>
            <w:pPr>
              <w:widowControl/>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其他处理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81" w:hRule="atLeast"/>
          <w:jc w:val="center"/>
        </w:trPr>
        <w:tc>
          <w:tcPr>
            <w:tcW w:w="680" w:type="dxa"/>
            <w:vMerge w:val="restart"/>
            <w:tcBorders>
              <w:top w:val="single" w:color="auto" w:sz="4" w:space="0"/>
              <w:left w:val="single" w:color="auto" w:sz="4" w:space="0"/>
              <w:bottom w:val="single" w:color="auto" w:sz="4" w:space="0"/>
              <w:right w:val="single" w:color="auto" w:sz="4" w:space="0"/>
            </w:tcBorders>
            <w:vAlign w:val="center"/>
          </w:tcPr>
          <w:p>
            <w:pPr>
              <w:widowControl/>
              <w:autoSpaceDN w:val="0"/>
              <w:jc w:val="center"/>
              <w:rPr>
                <w:rFonts w:ascii="方正仿宋简体" w:eastAsia="方正仿宋简体" w:cs="方正仿宋简体"/>
                <w:szCs w:val="21"/>
              </w:rPr>
            </w:pPr>
            <w:r>
              <w:rPr>
                <w:rFonts w:hint="eastAsia" w:ascii="方正仿宋简体" w:eastAsia="方正仿宋_GBK" w:cs="方正仿宋简体"/>
                <w:szCs w:val="21"/>
              </w:rPr>
              <w:t>8</w:t>
            </w:r>
          </w:p>
        </w:tc>
        <w:tc>
          <w:tcPr>
            <w:tcW w:w="1361" w:type="dxa"/>
            <w:vMerge w:val="restart"/>
            <w:tcBorders>
              <w:top w:val="single" w:color="auto" w:sz="4" w:space="0"/>
              <w:left w:val="single" w:color="auto" w:sz="4" w:space="0"/>
              <w:bottom w:val="single" w:color="auto" w:sz="4" w:space="0"/>
              <w:right w:val="single" w:color="auto" w:sz="4" w:space="0"/>
            </w:tcBorders>
            <w:vAlign w:val="center"/>
          </w:tcPr>
          <w:p>
            <w:pPr>
              <w:widowControl/>
              <w:autoSpaceDN w:val="0"/>
              <w:jc w:val="center"/>
              <w:rPr>
                <w:rFonts w:ascii="方正仿宋简体" w:eastAsia="方正仿宋简体" w:cs="方正仿宋简体"/>
                <w:szCs w:val="21"/>
              </w:rPr>
            </w:pPr>
            <w:r>
              <w:rPr>
                <w:rFonts w:hint="eastAsia" w:ascii="方正仿宋简体" w:eastAsia="方正仿宋_GBK" w:cs="方正仿宋简体"/>
                <w:szCs w:val="21"/>
              </w:rPr>
              <w:t>G010105606</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widowControl/>
              <w:autoSpaceDN w:val="0"/>
              <w:rPr>
                <w:rFonts w:ascii="方正仿宋简体" w:eastAsia="方正仿宋简体" w:cs="方正仿宋简体"/>
                <w:szCs w:val="21"/>
              </w:rPr>
            </w:pPr>
            <w:r>
              <w:rPr>
                <w:rFonts w:hint="eastAsia" w:ascii="方正仿宋简体" w:eastAsia="方正仿宋_GBK" w:cs="方正仿宋简体"/>
                <w:szCs w:val="21"/>
              </w:rPr>
              <w:t>建设单位未按照国家规定办理工程质量监督手续的</w:t>
            </w:r>
          </w:p>
        </w:tc>
        <w:tc>
          <w:tcPr>
            <w:tcW w:w="1984" w:type="dxa"/>
            <w:vMerge w:val="restart"/>
            <w:tcBorders>
              <w:top w:val="single" w:color="auto" w:sz="4" w:space="0"/>
              <w:left w:val="single" w:color="auto" w:sz="4" w:space="0"/>
              <w:bottom w:val="single" w:color="auto" w:sz="4" w:space="0"/>
              <w:right w:val="single" w:color="auto" w:sz="4" w:space="0"/>
            </w:tcBorders>
            <w:vAlign w:val="center"/>
          </w:tcPr>
          <w:p>
            <w:pPr>
              <w:widowControl/>
              <w:autoSpaceDN w:val="0"/>
              <w:rPr>
                <w:rFonts w:ascii="方正仿宋简体" w:eastAsia="方正仿宋简体" w:cs="方正仿宋简体"/>
                <w:szCs w:val="21"/>
              </w:rPr>
            </w:pPr>
            <w:r>
              <w:rPr>
                <w:rFonts w:hint="eastAsia" w:ascii="方正仿宋简体" w:eastAsia="方正仿宋_GBK" w:cs="方正仿宋简体"/>
                <w:szCs w:val="21"/>
              </w:rPr>
              <w:t>《建设工程质量管理条例》第十三条 建设单位在开工前，应当按照国家有关规定办理工程质量监督手续，工程质量监督手续可以与施工许可证或者开工报告合并办理。</w:t>
            </w:r>
          </w:p>
        </w:tc>
        <w:tc>
          <w:tcPr>
            <w:tcW w:w="2551" w:type="dxa"/>
            <w:vMerge w:val="restart"/>
            <w:tcBorders>
              <w:top w:val="single" w:color="auto" w:sz="4" w:space="0"/>
              <w:left w:val="single" w:color="auto" w:sz="4" w:space="0"/>
              <w:bottom w:val="single" w:color="auto" w:sz="4" w:space="0"/>
              <w:right w:val="single" w:color="auto" w:sz="4" w:space="0"/>
            </w:tcBorders>
            <w:vAlign w:val="center"/>
          </w:tcPr>
          <w:p>
            <w:pPr>
              <w:widowControl/>
              <w:autoSpaceDN w:val="0"/>
              <w:rPr>
                <w:rFonts w:ascii="方正仿宋简体" w:eastAsia="方正仿宋_GBK" w:cs="方正仿宋简体"/>
                <w:szCs w:val="21"/>
              </w:rPr>
            </w:pPr>
            <w:r>
              <w:rPr>
                <w:rFonts w:hint="eastAsia" w:ascii="方正仿宋简体" w:eastAsia="方正仿宋_GBK" w:cs="方正仿宋简体"/>
                <w:szCs w:val="21"/>
              </w:rPr>
              <w:t>《建设工程质量管理条例》第五十六条 违反本条例规定，建设单位有下列行为之一的，责令改正，处20万元以上50万元以下的罚款：</w:t>
            </w:r>
          </w:p>
          <w:p>
            <w:pPr>
              <w:widowControl/>
              <w:autoSpaceDN w:val="0"/>
              <w:rPr>
                <w:rFonts w:ascii="方正仿宋简体" w:eastAsia="方正仿宋_GBK" w:cs="方正仿宋简体"/>
                <w:szCs w:val="21"/>
              </w:rPr>
            </w:pPr>
            <w:r>
              <w:rPr>
                <w:rFonts w:hint="eastAsia" w:ascii="方正仿宋简体" w:eastAsia="方正仿宋_GBK" w:cs="方正仿宋简体"/>
                <w:szCs w:val="21"/>
              </w:rPr>
              <w:t>（六）未按照国家规定办理工程质量监督手续的；</w:t>
            </w:r>
          </w:p>
          <w:p>
            <w:pPr>
              <w:widowControl/>
              <w:autoSpaceDN w:val="0"/>
              <w:rPr>
                <w:rFonts w:ascii="方正仿宋简体" w:eastAsia="方正仿宋简体" w:cs="方正仿宋简体"/>
                <w:szCs w:val="21"/>
              </w:rPr>
            </w:pPr>
            <w:r>
              <w:rPr>
                <w:rFonts w:hint="eastAsia" w:ascii="方正仿宋简体" w:eastAsia="方正仿宋_GBK" w:cs="方正仿宋简体"/>
                <w:szCs w:val="21"/>
              </w:rPr>
              <w:t>第七十三条 依照本条例规定，给予单位罚款处罚的，对单位直接负责的主管人员和其他直接责任人员处单位罚款数额百分之五以上百分之十以下的罚款。</w:t>
            </w:r>
          </w:p>
        </w:tc>
        <w:tc>
          <w:tcPr>
            <w:tcW w:w="1191" w:type="dxa"/>
            <w:tcBorders>
              <w:top w:val="single" w:color="auto" w:sz="4" w:space="0"/>
              <w:left w:val="single" w:color="auto" w:sz="4" w:space="0"/>
              <w:bottom w:val="single" w:color="auto" w:sz="4" w:space="0"/>
              <w:right w:val="single" w:color="auto" w:sz="4" w:space="0"/>
            </w:tcBorders>
            <w:vAlign w:val="center"/>
          </w:tcPr>
          <w:p>
            <w:pPr>
              <w:widowControl/>
              <w:autoSpaceDN w:val="0"/>
              <w:jc w:val="center"/>
              <w:rPr>
                <w:rFonts w:ascii="方正仿宋简体" w:eastAsia="方正仿宋简体" w:cs="方正仿宋简体"/>
                <w:szCs w:val="21"/>
              </w:rPr>
            </w:pPr>
            <w:r>
              <w:rPr>
                <w:rFonts w:hint="eastAsia" w:ascii="方正仿宋简体" w:eastAsia="方正仿宋_GBK" w:cs="方正仿宋简体"/>
                <w:szCs w:val="21"/>
              </w:rPr>
              <w:t>较轻</w:t>
            </w:r>
          </w:p>
        </w:tc>
        <w:tc>
          <w:tcPr>
            <w:tcW w:w="1928" w:type="dxa"/>
            <w:tcBorders>
              <w:top w:val="single" w:color="auto" w:sz="4" w:space="0"/>
              <w:left w:val="single" w:color="auto" w:sz="4" w:space="0"/>
              <w:bottom w:val="single" w:color="auto" w:sz="4" w:space="0"/>
              <w:right w:val="single" w:color="auto" w:sz="4" w:space="0"/>
            </w:tcBorders>
            <w:vAlign w:val="center"/>
          </w:tcPr>
          <w:p>
            <w:pPr>
              <w:widowControl/>
              <w:autoSpaceDN w:val="0"/>
              <w:rPr>
                <w:rFonts w:ascii="方正仿宋简体" w:eastAsia="方正仿宋简体" w:cs="方正仿宋简体"/>
                <w:szCs w:val="21"/>
              </w:rPr>
            </w:pPr>
            <w:r>
              <w:rPr>
                <w:rFonts w:hint="eastAsia" w:ascii="方正仿宋简体" w:eastAsia="方正仿宋_GBK" w:cs="方正仿宋简体"/>
                <w:kern w:val="0"/>
                <w:szCs w:val="21"/>
              </w:rPr>
              <w:t>处于施工初期或地基基础施工阶段的</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autoSpaceDN w:val="0"/>
              <w:rPr>
                <w:rFonts w:ascii="方正仿宋简体" w:eastAsia="方正仿宋简体" w:cs="方正仿宋简体"/>
                <w:szCs w:val="21"/>
              </w:rPr>
            </w:pPr>
            <w:r>
              <w:rPr>
                <w:rFonts w:hint="eastAsia" w:ascii="方正仿宋简体" w:eastAsia="方正仿宋_GBK" w:cs="方正仿宋简体"/>
                <w:szCs w:val="21"/>
              </w:rPr>
              <w:t>处20万元以上25万元以下的罚款，对单位直接负责的主管人员和其他直接责任人员处单位罚款数额百分之五以上百分之六点五以下的罚款</w:t>
            </w:r>
          </w:p>
        </w:tc>
        <w:tc>
          <w:tcPr>
            <w:tcW w:w="1191" w:type="dxa"/>
            <w:vMerge w:val="restart"/>
            <w:tcBorders>
              <w:top w:val="single" w:color="auto" w:sz="4" w:space="0"/>
              <w:left w:val="single" w:color="auto" w:sz="4" w:space="0"/>
              <w:bottom w:val="single" w:color="auto" w:sz="4" w:space="0"/>
              <w:right w:val="single" w:color="auto" w:sz="4" w:space="0"/>
            </w:tcBorders>
            <w:vAlign w:val="center"/>
          </w:tcPr>
          <w:p>
            <w:pPr>
              <w:widowControl/>
              <w:autoSpaceDN w:val="0"/>
              <w:jc w:val="center"/>
              <w:rPr>
                <w:rFonts w:ascii="方正仿宋简体" w:eastAsia="方正仿宋简体" w:cs="方正仿宋简体"/>
                <w:szCs w:val="21"/>
              </w:rPr>
            </w:pPr>
            <w:r>
              <w:rPr>
                <w:rFonts w:hint="eastAsia" w:ascii="方正仿宋简体" w:eastAsia="方正仿宋_GBK" w:cs="方正仿宋简体"/>
                <w:szCs w:val="21"/>
              </w:rPr>
              <w:t>责令改正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81" w:hRule="atLeast"/>
          <w:jc w:val="center"/>
        </w:trPr>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szCs w:val="21"/>
              </w:rPr>
            </w:pPr>
          </w:p>
        </w:tc>
        <w:tc>
          <w:tcPr>
            <w:tcW w:w="13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szCs w:val="21"/>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szCs w:val="21"/>
              </w:rPr>
            </w:pPr>
          </w:p>
        </w:tc>
        <w:tc>
          <w:tcPr>
            <w:tcW w:w="19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szCs w:val="21"/>
              </w:rPr>
            </w:pPr>
          </w:p>
        </w:tc>
        <w:tc>
          <w:tcPr>
            <w:tcW w:w="25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szCs w:val="21"/>
              </w:rPr>
            </w:pPr>
          </w:p>
        </w:tc>
        <w:tc>
          <w:tcPr>
            <w:tcW w:w="1191" w:type="dxa"/>
            <w:tcBorders>
              <w:top w:val="single" w:color="auto" w:sz="4" w:space="0"/>
              <w:left w:val="single" w:color="auto" w:sz="4" w:space="0"/>
              <w:bottom w:val="single" w:color="auto" w:sz="4" w:space="0"/>
              <w:right w:val="single" w:color="auto" w:sz="4" w:space="0"/>
            </w:tcBorders>
            <w:vAlign w:val="center"/>
          </w:tcPr>
          <w:p>
            <w:pPr>
              <w:widowControl/>
              <w:autoSpaceDN w:val="0"/>
              <w:jc w:val="center"/>
              <w:rPr>
                <w:rFonts w:ascii="方正仿宋简体" w:eastAsia="方正仿宋简体" w:cs="方正仿宋简体"/>
                <w:szCs w:val="21"/>
              </w:rPr>
            </w:pPr>
            <w:r>
              <w:rPr>
                <w:rFonts w:hint="eastAsia" w:ascii="方正仿宋简体" w:eastAsia="方正仿宋_GBK" w:cs="方正仿宋简体"/>
                <w:szCs w:val="21"/>
              </w:rPr>
              <w:t>较重</w:t>
            </w:r>
          </w:p>
        </w:tc>
        <w:tc>
          <w:tcPr>
            <w:tcW w:w="1928" w:type="dxa"/>
            <w:tcBorders>
              <w:top w:val="single" w:color="auto" w:sz="4" w:space="0"/>
              <w:left w:val="single" w:color="auto" w:sz="4" w:space="0"/>
              <w:bottom w:val="single" w:color="auto" w:sz="4" w:space="0"/>
              <w:right w:val="single" w:color="auto" w:sz="4" w:space="0"/>
            </w:tcBorders>
            <w:vAlign w:val="center"/>
          </w:tcPr>
          <w:p>
            <w:pPr>
              <w:widowControl/>
              <w:autoSpaceDN w:val="0"/>
              <w:rPr>
                <w:rFonts w:ascii="方正仿宋简体" w:eastAsia="方正仿宋简体" w:cs="方正仿宋简体"/>
                <w:szCs w:val="21"/>
              </w:rPr>
            </w:pPr>
            <w:r>
              <w:rPr>
                <w:rFonts w:hint="eastAsia" w:ascii="方正仿宋简体" w:eastAsia="方正仿宋_GBK" w:cs="方正仿宋简体"/>
                <w:kern w:val="0"/>
                <w:szCs w:val="21"/>
              </w:rPr>
              <w:t>处于施工中期或主体结构施工阶段的</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autoSpaceDN w:val="0"/>
              <w:rPr>
                <w:rFonts w:ascii="方正仿宋简体" w:eastAsia="方正仿宋简体" w:cs="方正仿宋简体"/>
                <w:szCs w:val="21"/>
              </w:rPr>
            </w:pPr>
            <w:r>
              <w:rPr>
                <w:rFonts w:hint="eastAsia" w:ascii="方正仿宋简体" w:eastAsia="方正仿宋_GBK" w:cs="方正仿宋简体"/>
                <w:szCs w:val="21"/>
              </w:rPr>
              <w:t>处25万元以上40万元以下的罚款，对单位直接负责的主管人员和其他直接责任人员处单位罚款数额百分之六点五以上百分之八点五以下的罚款</w:t>
            </w:r>
          </w:p>
        </w:tc>
        <w:tc>
          <w:tcPr>
            <w:tcW w:w="11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81" w:hRule="atLeast"/>
          <w:jc w:val="center"/>
        </w:trPr>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szCs w:val="21"/>
              </w:rPr>
            </w:pPr>
          </w:p>
        </w:tc>
        <w:tc>
          <w:tcPr>
            <w:tcW w:w="13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szCs w:val="21"/>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szCs w:val="21"/>
              </w:rPr>
            </w:pPr>
          </w:p>
        </w:tc>
        <w:tc>
          <w:tcPr>
            <w:tcW w:w="19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szCs w:val="21"/>
              </w:rPr>
            </w:pPr>
          </w:p>
        </w:tc>
        <w:tc>
          <w:tcPr>
            <w:tcW w:w="25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szCs w:val="21"/>
              </w:rPr>
            </w:pPr>
          </w:p>
        </w:tc>
        <w:tc>
          <w:tcPr>
            <w:tcW w:w="1191" w:type="dxa"/>
            <w:tcBorders>
              <w:top w:val="single" w:color="auto" w:sz="4" w:space="0"/>
              <w:left w:val="single" w:color="auto" w:sz="4" w:space="0"/>
              <w:bottom w:val="single" w:color="auto" w:sz="4" w:space="0"/>
              <w:right w:val="single" w:color="auto" w:sz="4" w:space="0"/>
            </w:tcBorders>
            <w:vAlign w:val="center"/>
          </w:tcPr>
          <w:p>
            <w:pPr>
              <w:widowControl/>
              <w:autoSpaceDN w:val="0"/>
              <w:jc w:val="center"/>
              <w:rPr>
                <w:rFonts w:ascii="方正仿宋简体" w:eastAsia="方正仿宋简体" w:cs="方正仿宋简体"/>
                <w:szCs w:val="21"/>
              </w:rPr>
            </w:pPr>
            <w:r>
              <w:rPr>
                <w:rFonts w:hint="eastAsia" w:ascii="方正仿宋简体" w:eastAsia="方正仿宋_GBK" w:cs="方正仿宋简体"/>
                <w:szCs w:val="21"/>
              </w:rPr>
              <w:t>严重</w:t>
            </w:r>
          </w:p>
        </w:tc>
        <w:tc>
          <w:tcPr>
            <w:tcW w:w="1928" w:type="dxa"/>
            <w:tcBorders>
              <w:top w:val="single" w:color="auto" w:sz="4" w:space="0"/>
              <w:left w:val="single" w:color="auto" w:sz="4" w:space="0"/>
              <w:bottom w:val="single" w:color="auto" w:sz="4" w:space="0"/>
              <w:right w:val="single" w:color="auto" w:sz="4" w:space="0"/>
            </w:tcBorders>
            <w:vAlign w:val="center"/>
          </w:tcPr>
          <w:p>
            <w:pPr>
              <w:widowControl/>
              <w:autoSpaceDN w:val="0"/>
              <w:rPr>
                <w:rFonts w:ascii="方正仿宋简体" w:eastAsia="方正仿宋简体" w:cs="方正仿宋简体"/>
                <w:szCs w:val="21"/>
              </w:rPr>
            </w:pPr>
            <w:r>
              <w:rPr>
                <w:rFonts w:hint="eastAsia" w:ascii="方正仿宋简体" w:eastAsia="方正仿宋_GBK" w:cs="方正仿宋简体"/>
                <w:kern w:val="0"/>
                <w:szCs w:val="21"/>
              </w:rPr>
              <w:t>处于施工后期或工程主体已经完工的；</w:t>
            </w:r>
            <w:r>
              <w:rPr>
                <w:rFonts w:hint="eastAsia" w:ascii="方正仿宋简体" w:eastAsia="方正仿宋_GBK" w:cs="方正仿宋简体"/>
                <w:szCs w:val="21"/>
              </w:rPr>
              <w:t>发生质量安全事故的</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autoSpaceDN w:val="0"/>
              <w:rPr>
                <w:rFonts w:ascii="方正仿宋简体" w:eastAsia="方正仿宋简体" w:cs="方正仿宋简体"/>
                <w:szCs w:val="21"/>
              </w:rPr>
            </w:pPr>
            <w:r>
              <w:rPr>
                <w:rFonts w:hint="eastAsia" w:ascii="方正仿宋简体" w:eastAsia="方正仿宋_GBK" w:cs="方正仿宋简体"/>
                <w:szCs w:val="21"/>
              </w:rPr>
              <w:t>处40万元以上50万元以下的罚款，对单位直接负责的主管人员和其他直接责任人员处单位罚款数额百分之八点五以上百分之十以下的罚款</w:t>
            </w:r>
          </w:p>
        </w:tc>
        <w:tc>
          <w:tcPr>
            <w:tcW w:w="11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szCs w:val="21"/>
              </w:rPr>
            </w:pPr>
          </w:p>
        </w:tc>
      </w:tr>
    </w:tbl>
    <w:p>
      <w:pPr>
        <w:autoSpaceDN w:val="0"/>
        <w:rPr>
          <w:rFonts w:ascii="方正黑体_GBK" w:eastAsia="方正黑体_GBK" w:cs="方正黑体_GBK"/>
          <w:sz w:val="32"/>
          <w:szCs w:val="32"/>
        </w:rPr>
      </w:pPr>
    </w:p>
    <w:p>
      <w:pPr>
        <w:autoSpaceDN w:val="0"/>
        <w:rPr>
          <w:rFonts w:ascii="方正黑体_GBK" w:eastAsia="方正黑体_GBK" w:cs="方正黑体_GBK"/>
          <w:sz w:val="32"/>
          <w:szCs w:val="32"/>
        </w:rPr>
      </w:pPr>
    </w:p>
    <w:p>
      <w:pPr>
        <w:autoSpaceDN w:val="0"/>
        <w:rPr>
          <w:rFonts w:ascii="微软雅黑" w:hAnsi="微软雅黑" w:eastAsia="微软雅黑" w:cs="微软雅黑"/>
          <w:sz w:val="32"/>
          <w:szCs w:val="32"/>
        </w:rPr>
      </w:pPr>
      <w:r>
        <w:rPr>
          <w:rFonts w:hint="eastAsia" w:ascii="方正黑体_GBK" w:eastAsia="方正黑体_GBK" w:cs="方正黑体_GBK"/>
          <w:sz w:val="32"/>
          <w:szCs w:val="32"/>
        </w:rPr>
        <w:t>《建设工程质量管理条例》</w:t>
      </w:r>
    </w:p>
    <w:tbl>
      <w:tblPr>
        <w:tblStyle w:val="8"/>
        <w:tblW w:w="1462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80"/>
        <w:gridCol w:w="1361"/>
        <w:gridCol w:w="1134"/>
        <w:gridCol w:w="1644"/>
        <w:gridCol w:w="2551"/>
        <w:gridCol w:w="1191"/>
        <w:gridCol w:w="1928"/>
        <w:gridCol w:w="2948"/>
        <w:gridCol w:w="119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80" w:type="dxa"/>
            <w:tcBorders>
              <w:top w:val="single" w:color="auto" w:sz="4" w:space="0"/>
              <w:left w:val="single" w:color="auto" w:sz="4" w:space="0"/>
              <w:bottom w:val="single" w:color="auto" w:sz="4" w:space="0"/>
              <w:right w:val="single" w:color="auto" w:sz="4" w:space="0"/>
            </w:tcBorders>
            <w:vAlign w:val="center"/>
          </w:tcPr>
          <w:p>
            <w:pPr>
              <w:widowControl/>
              <w:autoSpaceDN w:val="0"/>
              <w:jc w:val="center"/>
              <w:rPr>
                <w:rFonts w:ascii="方正仿宋简体" w:eastAsia="方正仿宋简体" w:cs="方正仿宋简体"/>
                <w:b/>
                <w:kern w:val="0"/>
                <w:szCs w:val="21"/>
              </w:rPr>
            </w:pPr>
            <w:r>
              <w:rPr>
                <w:rFonts w:hint="eastAsia" w:ascii="方正仿宋简体" w:eastAsia="方正仿宋_GBK" w:cs="方正仿宋简体"/>
                <w:b/>
                <w:kern w:val="0"/>
                <w:szCs w:val="21"/>
              </w:rPr>
              <w:t>序号</w:t>
            </w:r>
          </w:p>
        </w:tc>
        <w:tc>
          <w:tcPr>
            <w:tcW w:w="1361" w:type="dxa"/>
            <w:tcBorders>
              <w:top w:val="single" w:color="auto" w:sz="4" w:space="0"/>
              <w:left w:val="single" w:color="auto" w:sz="4" w:space="0"/>
              <w:bottom w:val="single" w:color="auto" w:sz="4" w:space="0"/>
              <w:right w:val="single" w:color="auto" w:sz="4" w:space="0"/>
            </w:tcBorders>
            <w:vAlign w:val="center"/>
          </w:tcPr>
          <w:p>
            <w:pPr>
              <w:widowControl/>
              <w:autoSpaceDN w:val="0"/>
              <w:jc w:val="center"/>
              <w:rPr>
                <w:rFonts w:ascii="方正仿宋简体" w:eastAsia="方正仿宋简体" w:cs="方正仿宋简体"/>
                <w:b/>
                <w:kern w:val="0"/>
                <w:szCs w:val="21"/>
              </w:rPr>
            </w:pPr>
            <w:r>
              <w:rPr>
                <w:rFonts w:hint="eastAsia" w:ascii="方正仿宋简体" w:eastAsia="方正仿宋_GBK" w:cs="方正仿宋简体"/>
                <w:b/>
                <w:kern w:val="0"/>
                <w:szCs w:val="21"/>
              </w:rPr>
              <w:t>基准编号</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utoSpaceDN w:val="0"/>
              <w:jc w:val="center"/>
              <w:rPr>
                <w:rFonts w:ascii="方正仿宋简体" w:eastAsia="方正仿宋简体" w:cs="方正仿宋简体"/>
                <w:b/>
                <w:kern w:val="0"/>
                <w:szCs w:val="21"/>
              </w:rPr>
            </w:pPr>
            <w:r>
              <w:rPr>
                <w:rFonts w:hint="eastAsia" w:ascii="方正仿宋简体" w:eastAsia="方正仿宋_GBK" w:cs="方正仿宋简体"/>
                <w:b/>
                <w:kern w:val="0"/>
                <w:szCs w:val="21"/>
              </w:rPr>
              <w:t>违法行为</w:t>
            </w:r>
          </w:p>
        </w:tc>
        <w:tc>
          <w:tcPr>
            <w:tcW w:w="1644" w:type="dxa"/>
            <w:tcBorders>
              <w:top w:val="single" w:color="auto" w:sz="4" w:space="0"/>
              <w:left w:val="single" w:color="auto" w:sz="4" w:space="0"/>
              <w:bottom w:val="single" w:color="auto" w:sz="4" w:space="0"/>
              <w:right w:val="single" w:color="auto" w:sz="4" w:space="0"/>
            </w:tcBorders>
            <w:vAlign w:val="center"/>
          </w:tcPr>
          <w:p>
            <w:pPr>
              <w:widowControl/>
              <w:autoSpaceDN w:val="0"/>
              <w:jc w:val="center"/>
              <w:rPr>
                <w:rFonts w:ascii="方正仿宋简体" w:eastAsia="方正仿宋简体" w:cs="方正仿宋简体"/>
                <w:b/>
                <w:kern w:val="0"/>
                <w:szCs w:val="21"/>
              </w:rPr>
            </w:pPr>
            <w:r>
              <w:rPr>
                <w:rFonts w:hint="eastAsia" w:ascii="方正仿宋简体" w:eastAsia="方正仿宋_GBK" w:cs="方正仿宋简体"/>
                <w:b/>
                <w:kern w:val="0"/>
                <w:szCs w:val="21"/>
              </w:rPr>
              <w:t>违反条款</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autoSpaceDN w:val="0"/>
              <w:jc w:val="center"/>
              <w:rPr>
                <w:rFonts w:ascii="方正仿宋简体" w:eastAsia="方正仿宋简体" w:cs="方正仿宋简体"/>
                <w:b/>
                <w:kern w:val="0"/>
                <w:szCs w:val="21"/>
              </w:rPr>
            </w:pPr>
            <w:r>
              <w:rPr>
                <w:rFonts w:hint="eastAsia" w:ascii="方正仿宋简体" w:eastAsia="方正仿宋_GBK" w:cs="方正仿宋简体"/>
                <w:b/>
                <w:kern w:val="0"/>
                <w:szCs w:val="21"/>
              </w:rPr>
              <w:t>处罚依据</w:t>
            </w:r>
          </w:p>
        </w:tc>
        <w:tc>
          <w:tcPr>
            <w:tcW w:w="1191" w:type="dxa"/>
            <w:tcBorders>
              <w:top w:val="single" w:color="auto" w:sz="4" w:space="0"/>
              <w:left w:val="single" w:color="auto" w:sz="4" w:space="0"/>
              <w:bottom w:val="single" w:color="auto" w:sz="4" w:space="0"/>
              <w:right w:val="single" w:color="auto" w:sz="4" w:space="0"/>
            </w:tcBorders>
            <w:vAlign w:val="center"/>
          </w:tcPr>
          <w:p>
            <w:pPr>
              <w:widowControl/>
              <w:autoSpaceDN w:val="0"/>
              <w:jc w:val="center"/>
              <w:rPr>
                <w:rFonts w:ascii="方正仿宋简体" w:eastAsia="方正仿宋简体" w:cs="方正仿宋简体"/>
                <w:b/>
                <w:kern w:val="0"/>
                <w:szCs w:val="21"/>
              </w:rPr>
            </w:pPr>
            <w:r>
              <w:rPr>
                <w:rFonts w:hint="eastAsia" w:ascii="方正仿宋简体" w:eastAsia="方正仿宋_GBK" w:cs="方正仿宋简体"/>
                <w:b/>
                <w:kern w:val="0"/>
                <w:szCs w:val="21"/>
              </w:rPr>
              <w:t>裁量幅度</w:t>
            </w:r>
          </w:p>
        </w:tc>
        <w:tc>
          <w:tcPr>
            <w:tcW w:w="1928" w:type="dxa"/>
            <w:tcBorders>
              <w:top w:val="single" w:color="auto" w:sz="4" w:space="0"/>
              <w:left w:val="single" w:color="auto" w:sz="4" w:space="0"/>
              <w:bottom w:val="single" w:color="auto" w:sz="4" w:space="0"/>
              <w:right w:val="single" w:color="auto" w:sz="4" w:space="0"/>
            </w:tcBorders>
            <w:vAlign w:val="center"/>
          </w:tcPr>
          <w:p>
            <w:pPr>
              <w:widowControl/>
              <w:autoSpaceDN w:val="0"/>
              <w:jc w:val="center"/>
              <w:rPr>
                <w:rFonts w:ascii="方正仿宋简体" w:eastAsia="方正仿宋简体" w:cs="方正仿宋简体"/>
                <w:b/>
                <w:kern w:val="0"/>
                <w:szCs w:val="21"/>
              </w:rPr>
            </w:pPr>
            <w:r>
              <w:rPr>
                <w:rFonts w:hint="eastAsia" w:ascii="方正仿宋简体" w:eastAsia="方正仿宋_GBK" w:cs="方正仿宋简体"/>
                <w:b/>
                <w:kern w:val="0"/>
                <w:szCs w:val="21"/>
              </w:rPr>
              <w:t>违法情节和后果</w:t>
            </w:r>
          </w:p>
        </w:tc>
        <w:tc>
          <w:tcPr>
            <w:tcW w:w="2948" w:type="dxa"/>
            <w:tcBorders>
              <w:top w:val="single" w:color="auto" w:sz="4" w:space="0"/>
              <w:left w:val="single" w:color="auto" w:sz="4" w:space="0"/>
              <w:bottom w:val="single" w:color="auto" w:sz="4" w:space="0"/>
              <w:right w:val="single" w:color="auto" w:sz="4" w:space="0"/>
            </w:tcBorders>
            <w:vAlign w:val="center"/>
          </w:tcPr>
          <w:p>
            <w:pPr>
              <w:widowControl/>
              <w:autoSpaceDN w:val="0"/>
              <w:jc w:val="center"/>
              <w:rPr>
                <w:rFonts w:ascii="方正仿宋简体" w:eastAsia="方正仿宋简体" w:cs="方正仿宋简体"/>
                <w:b/>
                <w:kern w:val="0"/>
                <w:szCs w:val="21"/>
              </w:rPr>
            </w:pPr>
            <w:r>
              <w:rPr>
                <w:rFonts w:hint="eastAsia" w:ascii="方正仿宋简体" w:eastAsia="方正仿宋_GBK" w:cs="方正仿宋简体"/>
                <w:b/>
                <w:kern w:val="0"/>
                <w:szCs w:val="21"/>
              </w:rPr>
              <w:t>处罚裁量基准</w:t>
            </w:r>
          </w:p>
        </w:tc>
        <w:tc>
          <w:tcPr>
            <w:tcW w:w="1191" w:type="dxa"/>
            <w:tcBorders>
              <w:top w:val="single" w:color="auto" w:sz="4" w:space="0"/>
              <w:left w:val="single" w:color="auto" w:sz="4" w:space="0"/>
              <w:bottom w:val="single" w:color="auto" w:sz="4" w:space="0"/>
              <w:right w:val="single" w:color="auto" w:sz="4" w:space="0"/>
            </w:tcBorders>
            <w:vAlign w:val="center"/>
          </w:tcPr>
          <w:p>
            <w:pPr>
              <w:widowControl/>
              <w:autoSpaceDN w:val="0"/>
              <w:jc w:val="center"/>
              <w:rPr>
                <w:rFonts w:ascii="方正仿宋简体" w:eastAsia="方正仿宋简体" w:cs="方正仿宋简体"/>
                <w:b/>
                <w:kern w:val="0"/>
                <w:szCs w:val="21"/>
              </w:rPr>
            </w:pPr>
            <w:r>
              <w:rPr>
                <w:rFonts w:hint="eastAsia" w:ascii="方正仿宋简体" w:eastAsia="方正仿宋_GBK" w:cs="方正仿宋简体"/>
                <w:b/>
                <w:kern w:val="0"/>
                <w:szCs w:val="21"/>
              </w:rPr>
              <w:t>其他处理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81" w:hRule="atLeast"/>
          <w:jc w:val="center"/>
        </w:trPr>
        <w:tc>
          <w:tcPr>
            <w:tcW w:w="680" w:type="dxa"/>
            <w:vMerge w:val="restart"/>
            <w:tcBorders>
              <w:top w:val="single" w:color="auto" w:sz="4" w:space="0"/>
              <w:left w:val="single" w:color="auto" w:sz="4" w:space="0"/>
              <w:bottom w:val="single" w:color="auto" w:sz="4" w:space="0"/>
              <w:right w:val="single" w:color="auto" w:sz="4" w:space="0"/>
            </w:tcBorders>
            <w:vAlign w:val="center"/>
          </w:tcPr>
          <w:p>
            <w:pPr>
              <w:widowControl/>
              <w:autoSpaceDN w:val="0"/>
              <w:jc w:val="center"/>
              <w:rPr>
                <w:rFonts w:ascii="方正仿宋简体" w:eastAsia="方正仿宋简体" w:cs="方正仿宋简体"/>
                <w:szCs w:val="21"/>
              </w:rPr>
            </w:pPr>
            <w:r>
              <w:rPr>
                <w:rFonts w:hint="eastAsia" w:ascii="方正仿宋简体" w:eastAsia="方正仿宋_GBK" w:cs="方正仿宋简体"/>
                <w:szCs w:val="21"/>
              </w:rPr>
              <w:t>11</w:t>
            </w:r>
          </w:p>
        </w:tc>
        <w:tc>
          <w:tcPr>
            <w:tcW w:w="1361" w:type="dxa"/>
            <w:vMerge w:val="restart"/>
            <w:tcBorders>
              <w:top w:val="single" w:color="auto" w:sz="4" w:space="0"/>
              <w:left w:val="single" w:color="auto" w:sz="4" w:space="0"/>
              <w:bottom w:val="single" w:color="auto" w:sz="4" w:space="0"/>
              <w:right w:val="single" w:color="auto" w:sz="4" w:space="0"/>
            </w:tcBorders>
            <w:vAlign w:val="center"/>
          </w:tcPr>
          <w:p>
            <w:pPr>
              <w:widowControl/>
              <w:autoSpaceDN w:val="0"/>
              <w:jc w:val="center"/>
              <w:rPr>
                <w:rFonts w:ascii="方正仿宋简体" w:eastAsia="方正仿宋简体" w:cs="方正仿宋简体"/>
                <w:szCs w:val="21"/>
              </w:rPr>
            </w:pPr>
            <w:r>
              <w:rPr>
                <w:rFonts w:hint="eastAsia" w:ascii="方正仿宋简体" w:eastAsia="方正仿宋_GBK" w:cs="方正仿宋简体"/>
                <w:szCs w:val="21"/>
              </w:rPr>
              <w:t>G010105801</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widowControl/>
              <w:autoSpaceDN w:val="0"/>
              <w:rPr>
                <w:rFonts w:ascii="方正仿宋简体" w:eastAsia="方正仿宋简体" w:cs="方正仿宋简体"/>
                <w:szCs w:val="21"/>
              </w:rPr>
            </w:pPr>
            <w:r>
              <w:rPr>
                <w:rFonts w:hint="eastAsia" w:ascii="方正仿宋简体" w:eastAsia="方正仿宋_GBK" w:cs="方正仿宋简体"/>
                <w:szCs w:val="21"/>
              </w:rPr>
              <w:t>建设单位未组织竣工验收，擅自交付使用的</w:t>
            </w:r>
          </w:p>
        </w:tc>
        <w:tc>
          <w:tcPr>
            <w:tcW w:w="1644" w:type="dxa"/>
            <w:vMerge w:val="restart"/>
            <w:tcBorders>
              <w:top w:val="single" w:color="auto" w:sz="4" w:space="0"/>
              <w:left w:val="single" w:color="auto" w:sz="4" w:space="0"/>
              <w:bottom w:val="single" w:color="auto" w:sz="4" w:space="0"/>
              <w:right w:val="single" w:color="auto" w:sz="4" w:space="0"/>
            </w:tcBorders>
            <w:vAlign w:val="center"/>
          </w:tcPr>
          <w:p>
            <w:pPr>
              <w:widowControl/>
              <w:autoSpaceDN w:val="0"/>
              <w:rPr>
                <w:rFonts w:ascii="方正仿宋简体" w:eastAsia="方正仿宋简体" w:cs="方正仿宋简体"/>
                <w:szCs w:val="21"/>
              </w:rPr>
            </w:pPr>
            <w:r>
              <w:rPr>
                <w:rFonts w:hint="eastAsia" w:ascii="方正仿宋简体" w:eastAsia="方正仿宋_GBK" w:cs="方正仿宋简体"/>
                <w:szCs w:val="21"/>
              </w:rPr>
              <w:t>《建设工程质量管理条例》第十六条第一款 建设单位收到建设工程竣工报告后，应当组织设计、施工、工程监理等有关单位进行竣工验收。</w:t>
            </w:r>
          </w:p>
        </w:tc>
        <w:tc>
          <w:tcPr>
            <w:tcW w:w="2551" w:type="dxa"/>
            <w:vMerge w:val="restart"/>
            <w:tcBorders>
              <w:top w:val="single" w:color="auto" w:sz="4" w:space="0"/>
              <w:left w:val="single" w:color="auto" w:sz="4" w:space="0"/>
              <w:bottom w:val="single" w:color="auto" w:sz="4" w:space="0"/>
              <w:right w:val="single" w:color="auto" w:sz="4" w:space="0"/>
            </w:tcBorders>
            <w:vAlign w:val="center"/>
          </w:tcPr>
          <w:p>
            <w:pPr>
              <w:widowControl/>
              <w:autoSpaceDN w:val="0"/>
              <w:rPr>
                <w:rFonts w:ascii="方正仿宋简体" w:eastAsia="方正仿宋_GBK" w:cs="方正仿宋简体"/>
                <w:szCs w:val="21"/>
              </w:rPr>
            </w:pPr>
            <w:r>
              <w:rPr>
                <w:rFonts w:hint="eastAsia" w:ascii="方正仿宋简体" w:eastAsia="方正仿宋_GBK" w:cs="方正仿宋简体"/>
                <w:szCs w:val="21"/>
              </w:rPr>
              <w:t>《建设工程质量管理条例》第五十八条  违反本条例规定，建设单位有下列行为之一的，责令改正，处工程合同价款百分之二以上百分之四以下的罚款；造成损失的，依法承担赔偿责任：</w:t>
            </w:r>
          </w:p>
          <w:p>
            <w:pPr>
              <w:widowControl/>
              <w:autoSpaceDN w:val="0"/>
              <w:rPr>
                <w:rFonts w:ascii="方正仿宋简体" w:eastAsia="方正仿宋_GBK" w:cs="方正仿宋简体"/>
                <w:szCs w:val="21"/>
              </w:rPr>
            </w:pPr>
            <w:r>
              <w:rPr>
                <w:rFonts w:hint="eastAsia" w:ascii="方正仿宋简体" w:eastAsia="方正仿宋_GBK" w:cs="方正仿宋简体"/>
                <w:szCs w:val="21"/>
              </w:rPr>
              <w:t>（一）未组织竣工验收，擅自交付使用的；</w:t>
            </w:r>
          </w:p>
          <w:p>
            <w:pPr>
              <w:widowControl/>
              <w:autoSpaceDN w:val="0"/>
              <w:rPr>
                <w:rFonts w:ascii="方正仿宋简体" w:eastAsia="方正仿宋简体" w:cs="方正仿宋简体"/>
                <w:szCs w:val="21"/>
              </w:rPr>
            </w:pPr>
            <w:r>
              <w:rPr>
                <w:rFonts w:hint="eastAsia" w:ascii="方正仿宋简体" w:eastAsia="方正仿宋_GBK" w:cs="方正仿宋简体"/>
                <w:szCs w:val="21"/>
              </w:rPr>
              <w:t>第七十三条 依照本条例规定，给予单位罚款处罚的，对单位直接负责的主管人员和其他直接责任人员处单位罚款数额百分之五以上百分之十以下的罚款。</w:t>
            </w:r>
          </w:p>
        </w:tc>
        <w:tc>
          <w:tcPr>
            <w:tcW w:w="1191" w:type="dxa"/>
            <w:tcBorders>
              <w:top w:val="single" w:color="auto" w:sz="4" w:space="0"/>
              <w:left w:val="single" w:color="auto" w:sz="4" w:space="0"/>
              <w:bottom w:val="single" w:color="auto" w:sz="4" w:space="0"/>
              <w:right w:val="single" w:color="auto" w:sz="4" w:space="0"/>
            </w:tcBorders>
            <w:vAlign w:val="center"/>
          </w:tcPr>
          <w:p>
            <w:pPr>
              <w:widowControl/>
              <w:autoSpaceDN w:val="0"/>
              <w:jc w:val="center"/>
              <w:rPr>
                <w:rFonts w:ascii="方正仿宋简体" w:eastAsia="方正仿宋简体" w:cs="方正仿宋简体"/>
                <w:szCs w:val="21"/>
              </w:rPr>
            </w:pPr>
            <w:r>
              <w:rPr>
                <w:rFonts w:hint="eastAsia" w:ascii="方正仿宋简体" w:eastAsia="方正仿宋_GBK" w:cs="方正仿宋简体"/>
                <w:szCs w:val="21"/>
              </w:rPr>
              <w:t>较轻</w:t>
            </w:r>
          </w:p>
        </w:tc>
        <w:tc>
          <w:tcPr>
            <w:tcW w:w="1928" w:type="dxa"/>
            <w:tcBorders>
              <w:top w:val="single" w:color="auto" w:sz="4" w:space="0"/>
              <w:left w:val="single" w:color="auto" w:sz="4" w:space="0"/>
              <w:bottom w:val="single" w:color="auto" w:sz="4" w:space="0"/>
              <w:right w:val="single" w:color="auto" w:sz="4" w:space="0"/>
            </w:tcBorders>
            <w:vAlign w:val="center"/>
          </w:tcPr>
          <w:p>
            <w:pPr>
              <w:widowControl/>
              <w:autoSpaceDN w:val="0"/>
              <w:rPr>
                <w:rFonts w:ascii="方正仿宋简体" w:eastAsia="方正仿宋简体" w:cs="方正仿宋简体"/>
                <w:szCs w:val="21"/>
              </w:rPr>
            </w:pPr>
            <w:r>
              <w:rPr>
                <w:rFonts w:hint="eastAsia" w:ascii="方正仿宋简体" w:eastAsia="方正仿宋_GBK" w:cs="方正仿宋简体"/>
                <w:szCs w:val="21"/>
              </w:rPr>
              <w:t>按照要求重新竣工验收且验收合格的</w:t>
            </w:r>
          </w:p>
        </w:tc>
        <w:tc>
          <w:tcPr>
            <w:tcW w:w="2948" w:type="dxa"/>
            <w:tcBorders>
              <w:top w:val="single" w:color="auto" w:sz="4" w:space="0"/>
              <w:left w:val="single" w:color="auto" w:sz="4" w:space="0"/>
              <w:bottom w:val="single" w:color="auto" w:sz="4" w:space="0"/>
              <w:right w:val="single" w:color="auto" w:sz="4" w:space="0"/>
            </w:tcBorders>
            <w:vAlign w:val="center"/>
          </w:tcPr>
          <w:p>
            <w:pPr>
              <w:widowControl/>
              <w:autoSpaceDN w:val="0"/>
              <w:rPr>
                <w:rFonts w:ascii="方正仿宋简体" w:eastAsia="方正仿宋简体" w:cs="方正仿宋简体"/>
                <w:szCs w:val="21"/>
              </w:rPr>
            </w:pPr>
            <w:r>
              <w:rPr>
                <w:rFonts w:hint="eastAsia" w:ascii="方正仿宋简体" w:eastAsia="方正仿宋_GBK" w:cs="方正仿宋简体"/>
                <w:szCs w:val="21"/>
              </w:rPr>
              <w:t>处工程合同价款百分之二以上百分之二点五以下的罚款，对单位直接负责的主管人员和其他直接责任人员处单位罚款数额百分之五以上百分之六点五以下的罚款</w:t>
            </w:r>
          </w:p>
        </w:tc>
        <w:tc>
          <w:tcPr>
            <w:tcW w:w="1191" w:type="dxa"/>
            <w:vMerge w:val="restart"/>
            <w:tcBorders>
              <w:top w:val="single" w:color="auto" w:sz="4" w:space="0"/>
              <w:left w:val="single" w:color="auto" w:sz="4" w:space="0"/>
              <w:bottom w:val="single" w:color="auto" w:sz="4" w:space="0"/>
              <w:right w:val="single" w:color="auto" w:sz="4" w:space="0"/>
            </w:tcBorders>
            <w:vAlign w:val="center"/>
          </w:tcPr>
          <w:p>
            <w:pPr>
              <w:autoSpaceDN w:val="0"/>
              <w:jc w:val="center"/>
              <w:rPr>
                <w:rFonts w:eastAsia="仿宋_GB2312"/>
                <w:szCs w:val="21"/>
              </w:rPr>
            </w:pPr>
            <w:r>
              <w:rPr>
                <w:rFonts w:hint="eastAsia" w:ascii="方正仿宋简体" w:eastAsia="方正仿宋_GBK" w:cs="方正仿宋简体"/>
                <w:szCs w:val="21"/>
              </w:rPr>
              <w:t>责令改正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81" w:hRule="atLeast"/>
          <w:jc w:val="center"/>
        </w:trPr>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szCs w:val="21"/>
              </w:rPr>
            </w:pPr>
          </w:p>
        </w:tc>
        <w:tc>
          <w:tcPr>
            <w:tcW w:w="13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szCs w:val="21"/>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szCs w:val="21"/>
              </w:rPr>
            </w:pPr>
          </w:p>
        </w:tc>
        <w:tc>
          <w:tcPr>
            <w:tcW w:w="16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szCs w:val="21"/>
              </w:rPr>
            </w:pPr>
          </w:p>
        </w:tc>
        <w:tc>
          <w:tcPr>
            <w:tcW w:w="25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szCs w:val="21"/>
              </w:rPr>
            </w:pPr>
          </w:p>
        </w:tc>
        <w:tc>
          <w:tcPr>
            <w:tcW w:w="1191" w:type="dxa"/>
            <w:tcBorders>
              <w:top w:val="single" w:color="auto" w:sz="4" w:space="0"/>
              <w:left w:val="single" w:color="auto" w:sz="4" w:space="0"/>
              <w:bottom w:val="single" w:color="auto" w:sz="4" w:space="0"/>
              <w:right w:val="single" w:color="auto" w:sz="4" w:space="0"/>
            </w:tcBorders>
            <w:vAlign w:val="center"/>
          </w:tcPr>
          <w:p>
            <w:pPr>
              <w:widowControl/>
              <w:autoSpaceDN w:val="0"/>
              <w:jc w:val="center"/>
              <w:rPr>
                <w:rFonts w:ascii="方正仿宋简体" w:eastAsia="方正仿宋简体" w:cs="方正仿宋简体"/>
                <w:szCs w:val="21"/>
              </w:rPr>
            </w:pPr>
            <w:r>
              <w:rPr>
                <w:rFonts w:hint="eastAsia" w:ascii="方正仿宋简体" w:eastAsia="方正仿宋_GBK" w:cs="方正仿宋简体"/>
                <w:szCs w:val="21"/>
              </w:rPr>
              <w:t>较重</w:t>
            </w:r>
          </w:p>
        </w:tc>
        <w:tc>
          <w:tcPr>
            <w:tcW w:w="1928" w:type="dxa"/>
            <w:tcBorders>
              <w:top w:val="single" w:color="auto" w:sz="4" w:space="0"/>
              <w:left w:val="single" w:color="auto" w:sz="4" w:space="0"/>
              <w:bottom w:val="single" w:color="auto" w:sz="4" w:space="0"/>
              <w:right w:val="single" w:color="auto" w:sz="4" w:space="0"/>
            </w:tcBorders>
            <w:vAlign w:val="center"/>
          </w:tcPr>
          <w:p>
            <w:pPr>
              <w:widowControl/>
              <w:autoSpaceDN w:val="0"/>
              <w:rPr>
                <w:rFonts w:ascii="方正仿宋简体" w:eastAsia="方正仿宋简体" w:cs="方正仿宋简体"/>
                <w:szCs w:val="21"/>
              </w:rPr>
            </w:pPr>
            <w:r>
              <w:rPr>
                <w:rFonts w:hint="eastAsia" w:ascii="方正仿宋简体" w:eastAsia="方正仿宋_GBK" w:cs="方正仿宋简体"/>
                <w:szCs w:val="21"/>
              </w:rPr>
              <w:t>按照要求重新竣工验收但验收不合格的</w:t>
            </w:r>
          </w:p>
        </w:tc>
        <w:tc>
          <w:tcPr>
            <w:tcW w:w="2948" w:type="dxa"/>
            <w:tcBorders>
              <w:top w:val="single" w:color="auto" w:sz="4" w:space="0"/>
              <w:left w:val="single" w:color="auto" w:sz="4" w:space="0"/>
              <w:bottom w:val="single" w:color="auto" w:sz="4" w:space="0"/>
              <w:right w:val="single" w:color="auto" w:sz="4" w:space="0"/>
            </w:tcBorders>
            <w:vAlign w:val="center"/>
          </w:tcPr>
          <w:p>
            <w:pPr>
              <w:widowControl/>
              <w:autoSpaceDN w:val="0"/>
              <w:rPr>
                <w:rFonts w:ascii="方正仿宋简体" w:eastAsia="方正仿宋简体" w:cs="方正仿宋简体"/>
                <w:szCs w:val="21"/>
              </w:rPr>
            </w:pPr>
            <w:r>
              <w:rPr>
                <w:rFonts w:hint="eastAsia" w:ascii="方正仿宋简体" w:eastAsia="方正仿宋_GBK" w:cs="方正仿宋简体"/>
                <w:szCs w:val="21"/>
              </w:rPr>
              <w:t>处工程合同价款百分之二点五以上百分之三点五以下的罚款，对单位直接负责的主管人员和其他直接责任人员处单位罚款数额百分之六点五以上百分之八点五以下的罚款</w:t>
            </w:r>
          </w:p>
        </w:tc>
        <w:tc>
          <w:tcPr>
            <w:tcW w:w="11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81" w:hRule="atLeast"/>
          <w:jc w:val="center"/>
        </w:trPr>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szCs w:val="21"/>
              </w:rPr>
            </w:pPr>
          </w:p>
        </w:tc>
        <w:tc>
          <w:tcPr>
            <w:tcW w:w="13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szCs w:val="21"/>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szCs w:val="21"/>
              </w:rPr>
            </w:pPr>
          </w:p>
        </w:tc>
        <w:tc>
          <w:tcPr>
            <w:tcW w:w="16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szCs w:val="21"/>
              </w:rPr>
            </w:pPr>
          </w:p>
        </w:tc>
        <w:tc>
          <w:tcPr>
            <w:tcW w:w="25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szCs w:val="21"/>
              </w:rPr>
            </w:pPr>
          </w:p>
        </w:tc>
        <w:tc>
          <w:tcPr>
            <w:tcW w:w="1191" w:type="dxa"/>
            <w:tcBorders>
              <w:top w:val="single" w:color="auto" w:sz="4" w:space="0"/>
              <w:left w:val="single" w:color="auto" w:sz="4" w:space="0"/>
              <w:bottom w:val="single" w:color="auto" w:sz="4" w:space="0"/>
              <w:right w:val="single" w:color="auto" w:sz="4" w:space="0"/>
            </w:tcBorders>
            <w:vAlign w:val="center"/>
          </w:tcPr>
          <w:p>
            <w:pPr>
              <w:widowControl/>
              <w:autoSpaceDN w:val="0"/>
              <w:jc w:val="center"/>
              <w:rPr>
                <w:rFonts w:ascii="方正仿宋简体" w:eastAsia="方正仿宋简体" w:cs="方正仿宋简体"/>
                <w:szCs w:val="21"/>
              </w:rPr>
            </w:pPr>
            <w:r>
              <w:rPr>
                <w:rFonts w:hint="eastAsia" w:ascii="方正仿宋简体" w:eastAsia="方正仿宋_GBK" w:cs="方正仿宋简体"/>
                <w:szCs w:val="21"/>
              </w:rPr>
              <w:t>严重</w:t>
            </w:r>
          </w:p>
        </w:tc>
        <w:tc>
          <w:tcPr>
            <w:tcW w:w="1928" w:type="dxa"/>
            <w:tcBorders>
              <w:top w:val="single" w:color="auto" w:sz="4" w:space="0"/>
              <w:left w:val="single" w:color="auto" w:sz="4" w:space="0"/>
              <w:bottom w:val="single" w:color="auto" w:sz="4" w:space="0"/>
              <w:right w:val="single" w:color="auto" w:sz="4" w:space="0"/>
            </w:tcBorders>
            <w:vAlign w:val="center"/>
          </w:tcPr>
          <w:p>
            <w:pPr>
              <w:widowControl/>
              <w:autoSpaceDN w:val="0"/>
              <w:rPr>
                <w:rFonts w:ascii="方正仿宋简体" w:eastAsia="方正仿宋简体" w:cs="方正仿宋简体"/>
                <w:szCs w:val="21"/>
              </w:rPr>
            </w:pPr>
            <w:r>
              <w:rPr>
                <w:rFonts w:hint="eastAsia" w:ascii="方正仿宋简体" w:eastAsia="方正仿宋_GBK" w:cs="方正仿宋简体"/>
                <w:szCs w:val="21"/>
              </w:rPr>
              <w:t>发生质量安全事故的；造成严重社会影响的</w:t>
            </w:r>
          </w:p>
        </w:tc>
        <w:tc>
          <w:tcPr>
            <w:tcW w:w="2948" w:type="dxa"/>
            <w:tcBorders>
              <w:top w:val="single" w:color="auto" w:sz="4" w:space="0"/>
              <w:left w:val="single" w:color="auto" w:sz="4" w:space="0"/>
              <w:bottom w:val="single" w:color="auto" w:sz="4" w:space="0"/>
              <w:right w:val="single" w:color="auto" w:sz="4" w:space="0"/>
            </w:tcBorders>
            <w:vAlign w:val="center"/>
          </w:tcPr>
          <w:p>
            <w:pPr>
              <w:widowControl/>
              <w:autoSpaceDN w:val="0"/>
              <w:rPr>
                <w:rFonts w:ascii="方正仿宋简体" w:eastAsia="方正仿宋简体" w:cs="方正仿宋简体"/>
                <w:szCs w:val="21"/>
              </w:rPr>
            </w:pPr>
            <w:r>
              <w:rPr>
                <w:rFonts w:hint="eastAsia" w:ascii="方正仿宋简体" w:eastAsia="方正仿宋_GBK" w:cs="方正仿宋简体"/>
                <w:szCs w:val="21"/>
              </w:rPr>
              <w:t>处工程合同价款百分之三点五以上百分之四以下的罚款，对单位直接负责的主管人员和其他直接责任人员处单位罚款数额百分之八点五以上百分之十以下的罚款</w:t>
            </w:r>
          </w:p>
        </w:tc>
        <w:tc>
          <w:tcPr>
            <w:tcW w:w="11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Cs w:val="21"/>
              </w:rPr>
            </w:pPr>
          </w:p>
        </w:tc>
      </w:tr>
    </w:tbl>
    <w:p>
      <w:pPr>
        <w:pStyle w:val="2"/>
      </w:pPr>
    </w:p>
    <w:p>
      <w:pPr>
        <w:pStyle w:val="2"/>
      </w:pPr>
    </w:p>
    <w:p>
      <w:pPr>
        <w:pStyle w:val="2"/>
      </w:pPr>
    </w:p>
    <w:p>
      <w:pPr>
        <w:keepNext/>
        <w:keepLines/>
        <w:autoSpaceDN w:val="0"/>
        <w:snapToGrid w:val="0"/>
        <w:outlineLvl w:val="0"/>
        <w:rPr>
          <w:rFonts w:ascii="方正黑体_GBK" w:eastAsia="方正黑体_GBK" w:cs="方正黑体_GBK"/>
          <w:sz w:val="32"/>
          <w:szCs w:val="32"/>
        </w:rPr>
      </w:pPr>
      <w:bookmarkStart w:id="7" w:name="《建筑工程施工许可管理办法》（2021年3月30日修正）"/>
      <w:r>
        <w:rPr>
          <w:rFonts w:hint="eastAsia" w:ascii="方正黑体_GBK" w:eastAsia="方正黑体_GBK" w:cs="方正黑体_GBK"/>
          <w:sz w:val="32"/>
          <w:szCs w:val="32"/>
        </w:rPr>
        <w:t>《建筑工程施工许可管理办法》（2021年3月30日修正）</w:t>
      </w:r>
      <w:bookmarkEnd w:id="7"/>
    </w:p>
    <w:tbl>
      <w:tblPr>
        <w:tblStyle w:val="8"/>
        <w:tblW w:w="1468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80"/>
        <w:gridCol w:w="1361"/>
        <w:gridCol w:w="1134"/>
        <w:gridCol w:w="1417"/>
        <w:gridCol w:w="3231"/>
        <w:gridCol w:w="1191"/>
        <w:gridCol w:w="1928"/>
        <w:gridCol w:w="2551"/>
        <w:gridCol w:w="119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80"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序号</w:t>
            </w:r>
          </w:p>
        </w:tc>
        <w:tc>
          <w:tcPr>
            <w:tcW w:w="1361"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基准编号</w:t>
            </w:r>
          </w:p>
        </w:tc>
        <w:tc>
          <w:tcPr>
            <w:tcW w:w="1134"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违法行为</w:t>
            </w:r>
          </w:p>
        </w:tc>
        <w:tc>
          <w:tcPr>
            <w:tcW w:w="1417"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违反条款</w:t>
            </w:r>
          </w:p>
        </w:tc>
        <w:tc>
          <w:tcPr>
            <w:tcW w:w="3231"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处罚依据</w:t>
            </w:r>
          </w:p>
        </w:tc>
        <w:tc>
          <w:tcPr>
            <w:tcW w:w="1191"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裁量幅度</w:t>
            </w:r>
          </w:p>
        </w:tc>
        <w:tc>
          <w:tcPr>
            <w:tcW w:w="1928"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违法情节和后果</w:t>
            </w:r>
          </w:p>
        </w:tc>
        <w:tc>
          <w:tcPr>
            <w:tcW w:w="2551"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处罚裁量基准</w:t>
            </w:r>
          </w:p>
        </w:tc>
        <w:tc>
          <w:tcPr>
            <w:tcW w:w="1191"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其他处理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35" w:hRule="atLeast"/>
          <w:jc w:val="center"/>
        </w:trPr>
        <w:tc>
          <w:tcPr>
            <w:tcW w:w="680" w:type="dxa"/>
            <w:vMerge w:val="restart"/>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kern w:val="0"/>
                <w:szCs w:val="21"/>
              </w:rPr>
            </w:pPr>
            <w:r>
              <w:rPr>
                <w:rFonts w:hint="eastAsia" w:ascii="方正仿宋简体" w:eastAsia="方正仿宋_GBK" w:cs="方正仿宋简体"/>
                <w:kern w:val="0"/>
                <w:szCs w:val="21"/>
              </w:rPr>
              <w:t>303</w:t>
            </w:r>
          </w:p>
        </w:tc>
        <w:tc>
          <w:tcPr>
            <w:tcW w:w="1361" w:type="dxa"/>
            <w:vMerge w:val="restart"/>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kern w:val="0"/>
                <w:szCs w:val="21"/>
              </w:rPr>
            </w:pPr>
            <w:r>
              <w:rPr>
                <w:rFonts w:hint="eastAsia" w:ascii="方正仿宋简体" w:eastAsia="方正仿宋_GBK" w:cs="方正仿宋简体"/>
                <w:szCs w:val="21"/>
              </w:rPr>
              <w:t>G060501201</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autoSpaceDN w:val="0"/>
              <w:rPr>
                <w:rFonts w:ascii="方正仿宋简体" w:eastAsia="方正仿宋简体" w:cs="方正仿宋简体"/>
                <w:kern w:val="0"/>
                <w:szCs w:val="21"/>
              </w:rPr>
            </w:pPr>
            <w:r>
              <w:rPr>
                <w:rFonts w:hint="eastAsia" w:ascii="方正仿宋简体" w:eastAsia="方正仿宋_GBK" w:cs="方正仿宋简体"/>
                <w:kern w:val="0"/>
                <w:szCs w:val="21"/>
              </w:rPr>
              <w:t>未取得施工许可证或者为规避办理施工许可证将工程项目分解后擅自施工的</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autoSpaceDN w:val="0"/>
              <w:rPr>
                <w:rFonts w:ascii="方正仿宋简体" w:eastAsia="方正仿宋_GBK" w:cs="方正仿宋简体"/>
                <w:kern w:val="0"/>
                <w:szCs w:val="21"/>
              </w:rPr>
            </w:pPr>
            <w:r>
              <w:rPr>
                <w:rFonts w:hint="eastAsia" w:ascii="方正仿宋简体" w:eastAsia="方正仿宋_GBK" w:cs="方正仿宋简体"/>
                <w:kern w:val="0"/>
                <w:szCs w:val="21"/>
              </w:rPr>
              <w:t>《建筑工程施工许可管理办法》第三条 本办法规定应当申请领取施工许可证的建筑工程未取得施工许可证的，一律不得开工。</w:t>
            </w:r>
          </w:p>
          <w:p>
            <w:pPr>
              <w:autoSpaceDN w:val="0"/>
              <w:rPr>
                <w:rFonts w:ascii="方正仿宋简体" w:eastAsia="方正仿宋简体" w:cs="方正仿宋简体"/>
                <w:kern w:val="0"/>
                <w:szCs w:val="21"/>
              </w:rPr>
            </w:pPr>
            <w:r>
              <w:rPr>
                <w:rFonts w:hint="eastAsia" w:ascii="方正仿宋简体" w:eastAsia="方正仿宋_GBK" w:cs="方正仿宋简体"/>
                <w:kern w:val="0"/>
                <w:szCs w:val="21"/>
              </w:rPr>
              <w:t>任何单位和个人不得将应当申请领取施工许可证的工程项目分解为若干限额以下的工程项目，规避申请领取施工许可证。</w:t>
            </w:r>
          </w:p>
        </w:tc>
        <w:tc>
          <w:tcPr>
            <w:tcW w:w="3231" w:type="dxa"/>
            <w:vMerge w:val="restart"/>
            <w:tcBorders>
              <w:top w:val="single" w:color="auto" w:sz="4" w:space="0"/>
              <w:left w:val="single" w:color="auto" w:sz="4" w:space="0"/>
              <w:bottom w:val="single" w:color="auto" w:sz="4" w:space="0"/>
              <w:right w:val="single" w:color="auto" w:sz="4" w:space="0"/>
            </w:tcBorders>
            <w:vAlign w:val="center"/>
          </w:tcPr>
          <w:p>
            <w:pPr>
              <w:autoSpaceDN w:val="0"/>
              <w:rPr>
                <w:rFonts w:ascii="方正仿宋简体" w:eastAsia="方正仿宋_GBK" w:cs="方正仿宋简体"/>
                <w:kern w:val="0"/>
                <w:sz w:val="20"/>
              </w:rPr>
            </w:pPr>
            <w:r>
              <w:rPr>
                <w:rFonts w:hint="eastAsia" w:ascii="方正仿宋简体" w:eastAsia="方正仿宋_GBK" w:cs="方正仿宋简体"/>
                <w:kern w:val="0"/>
                <w:szCs w:val="21"/>
              </w:rPr>
              <w:t>《</w:t>
            </w:r>
            <w:r>
              <w:rPr>
                <w:rFonts w:hint="eastAsia" w:ascii="方正仿宋简体" w:eastAsia="方正仿宋_GBK" w:cs="方正仿宋简体"/>
                <w:kern w:val="0"/>
                <w:sz w:val="20"/>
              </w:rPr>
              <w:t>中华人民共和国建筑法》第六十四条 违反本法规定，未取得施工许可证或者开工报告未经批准擅自施工的，责令改正，对不符合开工条件的责令停止施工，可以处以罚款。</w:t>
            </w:r>
          </w:p>
          <w:p>
            <w:pPr>
              <w:autoSpaceDN w:val="0"/>
              <w:rPr>
                <w:rFonts w:ascii="方正仿宋简体" w:eastAsia="方正仿宋_GBK" w:cs="方正仿宋简体"/>
                <w:kern w:val="0"/>
                <w:sz w:val="20"/>
              </w:rPr>
            </w:pPr>
          </w:p>
          <w:p>
            <w:pPr>
              <w:autoSpaceDN w:val="0"/>
              <w:rPr>
                <w:rFonts w:ascii="方正仿宋简体" w:eastAsia="方正仿宋_GBK" w:cs="方正仿宋简体"/>
                <w:kern w:val="0"/>
                <w:sz w:val="20"/>
              </w:rPr>
            </w:pPr>
            <w:r>
              <w:rPr>
                <w:rFonts w:hint="eastAsia" w:ascii="方正仿宋简体" w:eastAsia="方正仿宋_GBK" w:cs="方正仿宋简体"/>
                <w:kern w:val="0"/>
                <w:sz w:val="20"/>
              </w:rPr>
              <w:t>《建设工程质量管理条例》第五十七条 违反本条例规定，建设单位未取得施工许可证或者开工报告未经批准，擅自施工的，责令停止施工，限期改正，处工程合同价款百分之一以上百分之二以下的罚款。</w:t>
            </w:r>
          </w:p>
          <w:p>
            <w:pPr>
              <w:autoSpaceDN w:val="0"/>
              <w:rPr>
                <w:rFonts w:ascii="方正仿宋简体" w:eastAsia="方正仿宋_GBK" w:cs="方正仿宋简体"/>
                <w:kern w:val="0"/>
                <w:sz w:val="20"/>
              </w:rPr>
            </w:pPr>
            <w:r>
              <w:rPr>
                <w:rFonts w:hint="eastAsia" w:ascii="方正仿宋简体" w:eastAsia="方正仿宋_GBK" w:cs="方正仿宋简体"/>
                <w:kern w:val="0"/>
                <w:sz w:val="20"/>
              </w:rPr>
              <w:t>第七十三条 依照本条例规定，给予单位罚款处罚的，对单位直接负责的主管人员和其他直接责任人员处单位罚款数额5%以上10%以下的罚款。</w:t>
            </w:r>
          </w:p>
          <w:p>
            <w:pPr>
              <w:autoSpaceDN w:val="0"/>
              <w:rPr>
                <w:rFonts w:ascii="方正仿宋简体" w:eastAsia="方正仿宋_GBK" w:cs="方正仿宋简体"/>
                <w:kern w:val="0"/>
                <w:sz w:val="20"/>
              </w:rPr>
            </w:pPr>
            <w:r>
              <w:rPr>
                <w:rFonts w:hint="eastAsia" w:ascii="方正仿宋简体" w:eastAsia="方正仿宋_GBK" w:cs="方正仿宋简体"/>
                <w:kern w:val="0"/>
                <w:sz w:val="20"/>
              </w:rPr>
              <w:t>单位及相关责任人受到处罚的，作为不良行为记录予以通报。</w:t>
            </w:r>
          </w:p>
          <w:p>
            <w:pPr>
              <w:autoSpaceDN w:val="0"/>
              <w:rPr>
                <w:rFonts w:ascii="方正仿宋简体" w:eastAsia="方正仿宋简体" w:cs="方正仿宋简体"/>
                <w:kern w:val="0"/>
                <w:szCs w:val="21"/>
              </w:rPr>
            </w:pPr>
            <w:r>
              <w:rPr>
                <w:rFonts w:hint="eastAsia" w:ascii="方正仿宋简体" w:eastAsia="方正仿宋_GBK" w:cs="方正仿宋简体"/>
                <w:kern w:val="0"/>
                <w:sz w:val="20"/>
              </w:rPr>
              <w:t>《建筑工程施工许可管理办法》第十二条 对于未取得施工许可证或者为规避办理施工许可证将工程项目分解后擅自施工的，由有管辖权的发证机关责令停止施工，限期改正，对建设单位处工程合同价款1%以上2%以下罚款；对施工单位处3万元以下罚款。</w:t>
            </w:r>
          </w:p>
        </w:tc>
        <w:tc>
          <w:tcPr>
            <w:tcW w:w="1191"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kern w:val="0"/>
                <w:szCs w:val="21"/>
              </w:rPr>
            </w:pPr>
            <w:r>
              <w:rPr>
                <w:rFonts w:hint="eastAsia" w:ascii="方正仿宋简体" w:eastAsia="方正仿宋_GBK" w:cs="方正仿宋简体"/>
                <w:szCs w:val="21"/>
              </w:rPr>
              <w:t>较轻</w:t>
            </w:r>
          </w:p>
        </w:tc>
        <w:tc>
          <w:tcPr>
            <w:tcW w:w="1928" w:type="dxa"/>
            <w:tcBorders>
              <w:top w:val="single" w:color="auto" w:sz="4" w:space="0"/>
              <w:left w:val="single" w:color="auto" w:sz="4" w:space="0"/>
              <w:bottom w:val="single" w:color="auto" w:sz="4" w:space="0"/>
              <w:right w:val="single" w:color="auto" w:sz="4" w:space="0"/>
            </w:tcBorders>
            <w:vAlign w:val="center"/>
          </w:tcPr>
          <w:p>
            <w:pPr>
              <w:widowControl/>
              <w:autoSpaceDN w:val="0"/>
              <w:rPr>
                <w:rFonts w:ascii="方正仿宋简体" w:eastAsia="方正仿宋_GBK" w:cs="方正仿宋简体"/>
                <w:kern w:val="0"/>
                <w:szCs w:val="21"/>
              </w:rPr>
            </w:pPr>
            <w:r>
              <w:rPr>
                <w:rFonts w:hint="eastAsia" w:ascii="方正仿宋简体" w:eastAsia="方正仿宋_GBK" w:cs="方正仿宋简体"/>
                <w:kern w:val="0"/>
                <w:szCs w:val="21"/>
              </w:rPr>
              <w:t>处于施工初期或地基基础施工阶段的</w:t>
            </w:r>
          </w:p>
        </w:tc>
        <w:tc>
          <w:tcPr>
            <w:tcW w:w="2551" w:type="dxa"/>
            <w:tcBorders>
              <w:top w:val="single" w:color="auto" w:sz="4" w:space="0"/>
              <w:left w:val="single" w:color="auto" w:sz="4" w:space="0"/>
              <w:bottom w:val="single" w:color="auto" w:sz="4" w:space="0"/>
              <w:right w:val="single" w:color="auto" w:sz="4" w:space="0"/>
            </w:tcBorders>
            <w:vAlign w:val="center"/>
          </w:tcPr>
          <w:p>
            <w:pPr>
              <w:autoSpaceDN w:val="0"/>
              <w:rPr>
                <w:rFonts w:ascii="方正仿宋简体" w:eastAsia="方正仿宋简体" w:cs="方正仿宋简体"/>
                <w:kern w:val="0"/>
                <w:szCs w:val="21"/>
              </w:rPr>
            </w:pPr>
            <w:r>
              <w:rPr>
                <w:rFonts w:hint="eastAsia" w:ascii="方正仿宋简体" w:eastAsia="方正仿宋_GBK" w:cs="方正仿宋简体"/>
                <w:kern w:val="0"/>
                <w:szCs w:val="21"/>
              </w:rPr>
              <w:t>对建设单位处工程合同价款1%以上1.3%以下罚款；对施工单位处1万元以下罚款；对单位直接负责的主管人员和其他直接责任人员处单位罚款数额5%以上6.5%以下罚款</w:t>
            </w:r>
          </w:p>
        </w:tc>
        <w:tc>
          <w:tcPr>
            <w:tcW w:w="1191" w:type="dxa"/>
            <w:vMerge w:val="restart"/>
            <w:tcBorders>
              <w:top w:val="single" w:color="auto" w:sz="4" w:space="0"/>
              <w:left w:val="single" w:color="auto" w:sz="4" w:space="0"/>
              <w:bottom w:val="single" w:color="auto" w:sz="4" w:space="0"/>
              <w:right w:val="single" w:color="auto" w:sz="4" w:space="0"/>
            </w:tcBorders>
            <w:vAlign w:val="center"/>
          </w:tcPr>
          <w:p>
            <w:pPr>
              <w:autoSpaceDN w:val="0"/>
              <w:rPr>
                <w:rFonts w:eastAsia="仿宋_GB2312"/>
                <w:kern w:val="0"/>
                <w:szCs w:val="21"/>
              </w:rPr>
            </w:pPr>
            <w:r>
              <w:rPr>
                <w:rFonts w:hint="eastAsia" w:ascii="方正仿宋简体" w:eastAsia="方正仿宋_GBK" w:cs="方正仿宋简体"/>
                <w:kern w:val="0"/>
                <w:szCs w:val="21"/>
              </w:rPr>
              <w:t>责令停止施工；限期改正；单位及相关责任人受到处罚的，作为不良行为记录予以通报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35" w:hRule="atLeast"/>
          <w:jc w:val="center"/>
        </w:trPr>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3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32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191" w:type="dxa"/>
            <w:tcBorders>
              <w:top w:val="single" w:color="auto" w:sz="4" w:space="0"/>
              <w:left w:val="single" w:color="auto" w:sz="4" w:space="0"/>
              <w:bottom w:val="single" w:color="auto" w:sz="4" w:space="0"/>
              <w:right w:val="single" w:color="auto" w:sz="4" w:space="0"/>
            </w:tcBorders>
            <w:vAlign w:val="center"/>
          </w:tcPr>
          <w:p>
            <w:pPr>
              <w:widowControl/>
              <w:autoSpaceDN w:val="0"/>
              <w:jc w:val="center"/>
              <w:rPr>
                <w:rFonts w:ascii="方正仿宋简体" w:eastAsia="方正仿宋简体" w:cs="方正仿宋简体"/>
                <w:kern w:val="0"/>
                <w:szCs w:val="21"/>
              </w:rPr>
            </w:pPr>
            <w:r>
              <w:rPr>
                <w:rFonts w:hint="eastAsia" w:ascii="方正仿宋简体" w:eastAsia="方正仿宋_GBK" w:cs="方正仿宋简体"/>
                <w:szCs w:val="21"/>
              </w:rPr>
              <w:t>较重</w:t>
            </w:r>
          </w:p>
        </w:tc>
        <w:tc>
          <w:tcPr>
            <w:tcW w:w="1928" w:type="dxa"/>
            <w:tcBorders>
              <w:top w:val="single" w:color="auto" w:sz="4" w:space="0"/>
              <w:left w:val="single" w:color="auto" w:sz="4" w:space="0"/>
              <w:bottom w:val="single" w:color="auto" w:sz="4" w:space="0"/>
              <w:right w:val="single" w:color="auto" w:sz="4" w:space="0"/>
            </w:tcBorders>
            <w:vAlign w:val="center"/>
          </w:tcPr>
          <w:p>
            <w:pPr>
              <w:widowControl/>
              <w:autoSpaceDN w:val="0"/>
              <w:rPr>
                <w:rFonts w:ascii="方正仿宋简体" w:eastAsia="方正仿宋简体" w:cs="方正仿宋简体"/>
                <w:kern w:val="0"/>
                <w:szCs w:val="21"/>
              </w:rPr>
            </w:pPr>
            <w:r>
              <w:rPr>
                <w:rFonts w:hint="eastAsia" w:ascii="方正仿宋简体" w:eastAsia="方正仿宋_GBK" w:cs="方正仿宋简体"/>
                <w:kern w:val="0"/>
                <w:szCs w:val="21"/>
              </w:rPr>
              <w:t>处于施工中期或主体结构施工阶段的</w:t>
            </w:r>
          </w:p>
        </w:tc>
        <w:tc>
          <w:tcPr>
            <w:tcW w:w="2551" w:type="dxa"/>
            <w:tcBorders>
              <w:top w:val="single" w:color="auto" w:sz="4" w:space="0"/>
              <w:left w:val="single" w:color="auto" w:sz="4" w:space="0"/>
              <w:bottom w:val="single" w:color="auto" w:sz="4" w:space="0"/>
              <w:right w:val="single" w:color="auto" w:sz="4" w:space="0"/>
            </w:tcBorders>
            <w:vAlign w:val="center"/>
          </w:tcPr>
          <w:p>
            <w:pPr>
              <w:autoSpaceDN w:val="0"/>
              <w:rPr>
                <w:rFonts w:ascii="方正仿宋简体" w:eastAsia="方正仿宋简体" w:cs="方正仿宋简体"/>
                <w:kern w:val="0"/>
                <w:szCs w:val="21"/>
              </w:rPr>
            </w:pPr>
            <w:r>
              <w:rPr>
                <w:rFonts w:hint="eastAsia" w:ascii="方正仿宋简体" w:eastAsia="方正仿宋_GBK" w:cs="方正仿宋简体"/>
                <w:kern w:val="0"/>
                <w:szCs w:val="21"/>
              </w:rPr>
              <w:t>对建设单位处工程合同价款1.3%以上1.7%以下罚款；对施工单位处1万元以上2万元以下罚款；对单位直接负责的主管人员和其他直接责任人员处单位罚款数额6.5%以上8.5%以下罚款</w:t>
            </w:r>
          </w:p>
        </w:tc>
        <w:tc>
          <w:tcPr>
            <w:tcW w:w="11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35" w:hRule="atLeast"/>
          <w:jc w:val="center"/>
        </w:trPr>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3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32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191" w:type="dxa"/>
            <w:tcBorders>
              <w:top w:val="single" w:color="auto" w:sz="4" w:space="0"/>
              <w:left w:val="single" w:color="auto" w:sz="4" w:space="0"/>
              <w:bottom w:val="single" w:color="auto" w:sz="4" w:space="0"/>
              <w:right w:val="single" w:color="auto" w:sz="4" w:space="0"/>
            </w:tcBorders>
            <w:vAlign w:val="center"/>
          </w:tcPr>
          <w:p>
            <w:pPr>
              <w:widowControl/>
              <w:autoSpaceDN w:val="0"/>
              <w:jc w:val="center"/>
              <w:rPr>
                <w:rFonts w:ascii="方正仿宋简体" w:eastAsia="方正仿宋简体" w:cs="方正仿宋简体"/>
                <w:kern w:val="0"/>
                <w:szCs w:val="21"/>
              </w:rPr>
            </w:pPr>
            <w:r>
              <w:rPr>
                <w:rFonts w:hint="eastAsia" w:ascii="方正仿宋简体" w:eastAsia="方正仿宋_GBK" w:cs="方正仿宋简体"/>
                <w:kern w:val="0"/>
                <w:szCs w:val="21"/>
              </w:rPr>
              <w:t>严重</w:t>
            </w:r>
          </w:p>
        </w:tc>
        <w:tc>
          <w:tcPr>
            <w:tcW w:w="1928" w:type="dxa"/>
            <w:tcBorders>
              <w:top w:val="single" w:color="auto" w:sz="4" w:space="0"/>
              <w:left w:val="single" w:color="auto" w:sz="4" w:space="0"/>
              <w:bottom w:val="single" w:color="auto" w:sz="4" w:space="0"/>
              <w:right w:val="single" w:color="auto" w:sz="4" w:space="0"/>
            </w:tcBorders>
            <w:vAlign w:val="center"/>
          </w:tcPr>
          <w:p>
            <w:pPr>
              <w:widowControl/>
              <w:autoSpaceDN w:val="0"/>
              <w:rPr>
                <w:rFonts w:ascii="方正仿宋简体" w:eastAsia="方正仿宋简体" w:cs="方正仿宋简体"/>
                <w:kern w:val="0"/>
                <w:szCs w:val="21"/>
              </w:rPr>
            </w:pPr>
            <w:r>
              <w:rPr>
                <w:rFonts w:hint="eastAsia" w:ascii="方正仿宋简体" w:eastAsia="方正仿宋_GBK" w:cs="方正仿宋简体"/>
                <w:kern w:val="0"/>
                <w:szCs w:val="21"/>
              </w:rPr>
              <w:t>处于施工后期或工程主体已经完工的；不配合调查，拒不停工的；</w:t>
            </w:r>
            <w:r>
              <w:rPr>
                <w:rFonts w:hint="eastAsia" w:ascii="方正仿宋简体" w:eastAsia="方正仿宋_GBK" w:cs="方正仿宋简体"/>
                <w:szCs w:val="21"/>
              </w:rPr>
              <w:t>造成严重社会影响的</w:t>
            </w:r>
          </w:p>
        </w:tc>
        <w:tc>
          <w:tcPr>
            <w:tcW w:w="2551" w:type="dxa"/>
            <w:tcBorders>
              <w:top w:val="single" w:color="auto" w:sz="4" w:space="0"/>
              <w:left w:val="single" w:color="auto" w:sz="4" w:space="0"/>
              <w:bottom w:val="single" w:color="auto" w:sz="4" w:space="0"/>
              <w:right w:val="single" w:color="auto" w:sz="4" w:space="0"/>
            </w:tcBorders>
            <w:vAlign w:val="center"/>
          </w:tcPr>
          <w:p>
            <w:pPr>
              <w:autoSpaceDN w:val="0"/>
              <w:rPr>
                <w:rFonts w:ascii="方正仿宋简体" w:eastAsia="方正仿宋简体" w:cs="方正仿宋简体"/>
                <w:kern w:val="0"/>
                <w:szCs w:val="21"/>
              </w:rPr>
            </w:pPr>
            <w:r>
              <w:rPr>
                <w:rFonts w:hint="eastAsia" w:ascii="方正仿宋简体" w:eastAsia="方正仿宋_GBK" w:cs="方正仿宋简体"/>
                <w:kern w:val="0"/>
                <w:szCs w:val="21"/>
              </w:rPr>
              <w:t>对建设单位处工程合同价款1.7%以上2%以下罚款；对施工单位处2万元以上3万元以下罚款；对单位直接负责的主管人员和其他直接责任人员处单位罚款数额8.5%以上10%以下罚款</w:t>
            </w:r>
          </w:p>
        </w:tc>
        <w:tc>
          <w:tcPr>
            <w:tcW w:w="11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Cs w:val="21"/>
              </w:rPr>
            </w:pPr>
          </w:p>
        </w:tc>
      </w:tr>
    </w:tbl>
    <w:p>
      <w:pPr>
        <w:pStyle w:val="4"/>
        <w:autoSpaceDN w:val="0"/>
        <w:rPr>
          <w:rFonts w:ascii="方正黑体_GBK" w:eastAsia="方正黑体_GBK" w:cs="方正黑体_GBK"/>
          <w:bCs/>
          <w:kern w:val="2"/>
          <w:szCs w:val="32"/>
        </w:rPr>
      </w:pPr>
      <w:r>
        <w:rPr>
          <w:rFonts w:hint="eastAsia" w:ascii="方正黑体_GBK" w:eastAsia="方正黑体_GBK" w:cs="方正黑体_GBK"/>
          <w:b w:val="0"/>
          <w:kern w:val="2"/>
          <w:szCs w:val="32"/>
        </w:rPr>
        <w:t>《中华人民共和国消防法》（2021年4月29日修正）</w:t>
      </w:r>
      <w:bookmarkStart w:id="8" w:name="_《中华人民共和国消防法》（2021年4月29日修正）"/>
    </w:p>
    <w:tbl>
      <w:tblPr>
        <w:tblStyle w:val="8"/>
        <w:tblW w:w="1491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80"/>
        <w:gridCol w:w="1361"/>
        <w:gridCol w:w="1134"/>
        <w:gridCol w:w="1701"/>
        <w:gridCol w:w="1701"/>
        <w:gridCol w:w="1191"/>
        <w:gridCol w:w="4252"/>
        <w:gridCol w:w="1701"/>
        <w:gridCol w:w="119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80"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序号</w:t>
            </w:r>
          </w:p>
        </w:tc>
        <w:tc>
          <w:tcPr>
            <w:tcW w:w="1361"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基准编号</w:t>
            </w:r>
          </w:p>
        </w:tc>
        <w:tc>
          <w:tcPr>
            <w:tcW w:w="1134"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违法行为</w:t>
            </w:r>
          </w:p>
        </w:tc>
        <w:tc>
          <w:tcPr>
            <w:tcW w:w="1701"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违反条款</w:t>
            </w:r>
          </w:p>
        </w:tc>
        <w:tc>
          <w:tcPr>
            <w:tcW w:w="1701"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处罚依据</w:t>
            </w:r>
          </w:p>
        </w:tc>
        <w:tc>
          <w:tcPr>
            <w:tcW w:w="1191"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裁量幅度</w:t>
            </w:r>
          </w:p>
        </w:tc>
        <w:tc>
          <w:tcPr>
            <w:tcW w:w="4252"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违法情节和后果</w:t>
            </w:r>
          </w:p>
        </w:tc>
        <w:tc>
          <w:tcPr>
            <w:tcW w:w="1701"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处罚裁量基准</w:t>
            </w:r>
          </w:p>
        </w:tc>
        <w:tc>
          <w:tcPr>
            <w:tcW w:w="1191"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其他处理</w:t>
            </w:r>
          </w:p>
        </w:tc>
      </w:tr>
      <w:bookmarkEnd w:id="8"/>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17" w:hRule="atLeast"/>
          <w:jc w:val="center"/>
        </w:trPr>
        <w:tc>
          <w:tcPr>
            <w:tcW w:w="680" w:type="dxa"/>
            <w:vMerge w:val="restart"/>
            <w:tcBorders>
              <w:top w:val="single" w:color="auto" w:sz="4" w:space="0"/>
              <w:left w:val="single" w:color="auto" w:sz="4" w:space="0"/>
              <w:bottom w:val="single" w:color="auto" w:sz="4" w:space="0"/>
              <w:right w:val="single" w:color="auto" w:sz="4" w:space="0"/>
            </w:tcBorders>
            <w:vAlign w:val="center"/>
          </w:tcPr>
          <w:p>
            <w:pPr>
              <w:widowControl/>
              <w:autoSpaceDN w:val="0"/>
              <w:jc w:val="center"/>
              <w:rPr>
                <w:rFonts w:ascii="方正仿宋简体" w:eastAsia="方正仿宋简体" w:cs="方正仿宋简体"/>
                <w:kern w:val="0"/>
                <w:szCs w:val="21"/>
              </w:rPr>
            </w:pPr>
            <w:r>
              <w:rPr>
                <w:rFonts w:hint="eastAsia" w:ascii="方正仿宋简体" w:eastAsia="方正仿宋_GBK" w:cs="方正仿宋简体"/>
                <w:kern w:val="0"/>
                <w:szCs w:val="21"/>
              </w:rPr>
              <w:t>334</w:t>
            </w:r>
          </w:p>
        </w:tc>
        <w:tc>
          <w:tcPr>
            <w:tcW w:w="1361" w:type="dxa"/>
            <w:vMerge w:val="restart"/>
            <w:tcBorders>
              <w:top w:val="single" w:color="auto" w:sz="4" w:space="0"/>
              <w:left w:val="single" w:color="auto" w:sz="4" w:space="0"/>
              <w:bottom w:val="single" w:color="auto" w:sz="4" w:space="0"/>
              <w:right w:val="single" w:color="auto" w:sz="4" w:space="0"/>
            </w:tcBorders>
            <w:vAlign w:val="center"/>
          </w:tcPr>
          <w:p>
            <w:pPr>
              <w:widowControl/>
              <w:autoSpaceDN w:val="0"/>
              <w:jc w:val="center"/>
              <w:rPr>
                <w:rFonts w:ascii="方正仿宋简体" w:eastAsia="方正仿宋简体" w:cs="方正仿宋简体"/>
                <w:kern w:val="0"/>
                <w:szCs w:val="21"/>
              </w:rPr>
            </w:pPr>
            <w:r>
              <w:rPr>
                <w:rFonts w:hint="eastAsia" w:ascii="方正仿宋简体" w:eastAsia="方正仿宋_GBK" w:cs="方正仿宋简体"/>
                <w:szCs w:val="21"/>
              </w:rPr>
              <w:t>G100105801</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widowControl/>
              <w:autoSpaceDN w:val="0"/>
              <w:rPr>
                <w:rFonts w:ascii="方正仿宋简体" w:eastAsia="方正仿宋简体" w:cs="方正仿宋简体"/>
                <w:kern w:val="0"/>
                <w:szCs w:val="21"/>
              </w:rPr>
            </w:pPr>
            <w:r>
              <w:rPr>
                <w:rFonts w:hint="eastAsia" w:ascii="方正仿宋简体" w:eastAsia="方正仿宋_GBK" w:cs="方正仿宋简体"/>
                <w:kern w:val="0"/>
                <w:szCs w:val="21"/>
              </w:rPr>
              <w:t>依法应当进行消防设计审查的建设工程，未经依法审查或者审查不合格，擅自施工的</w:t>
            </w: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widowControl/>
              <w:autoSpaceDN w:val="0"/>
              <w:spacing w:line="240" w:lineRule="exact"/>
              <w:rPr>
                <w:rFonts w:ascii="方正仿宋简体" w:eastAsia="方正仿宋_GBK" w:cs="方正仿宋简体"/>
                <w:kern w:val="0"/>
                <w:sz w:val="18"/>
                <w:szCs w:val="18"/>
              </w:rPr>
            </w:pPr>
            <w:r>
              <w:rPr>
                <w:rFonts w:hint="eastAsia" w:ascii="方正仿宋简体" w:eastAsia="方正仿宋_GBK" w:cs="方正仿宋简体"/>
                <w:kern w:val="0"/>
                <w:sz w:val="18"/>
                <w:szCs w:val="18"/>
              </w:rPr>
              <w:t>《中华人民共和国消防法》第十一条 国务院住房和城乡建设主管部门规定的特殊建设工程，建设单位应当将消防设计文件报送住房和城乡建设主管部门审查，住房和城乡建设主管部门依法对审查的结果负责。</w:t>
            </w:r>
          </w:p>
          <w:p>
            <w:pPr>
              <w:widowControl/>
              <w:autoSpaceDN w:val="0"/>
              <w:spacing w:line="240" w:lineRule="exact"/>
              <w:rPr>
                <w:rFonts w:ascii="方正仿宋简体" w:eastAsia="方正仿宋_GBK" w:cs="方正仿宋简体"/>
                <w:kern w:val="0"/>
                <w:sz w:val="18"/>
                <w:szCs w:val="18"/>
              </w:rPr>
            </w:pPr>
            <w:r>
              <w:rPr>
                <w:rFonts w:hint="eastAsia" w:ascii="方正仿宋简体" w:eastAsia="方正仿宋_GBK" w:cs="方正仿宋简体"/>
                <w:kern w:val="0"/>
                <w:sz w:val="18"/>
                <w:szCs w:val="18"/>
              </w:rPr>
              <w:t>前款规定以外的其他建设工程，建设单位申请领取施工许可证或者申请批准开工报告时应当提供满足施工需要的消防设计图纸及技术资料。</w:t>
            </w:r>
          </w:p>
          <w:p>
            <w:pPr>
              <w:widowControl/>
              <w:autoSpaceDN w:val="0"/>
              <w:spacing w:line="240" w:lineRule="exact"/>
              <w:rPr>
                <w:rFonts w:ascii="方正仿宋简体" w:eastAsia="方正仿宋简体" w:cs="方正仿宋简体"/>
                <w:kern w:val="0"/>
                <w:szCs w:val="21"/>
              </w:rPr>
            </w:pPr>
            <w:r>
              <w:rPr>
                <w:rFonts w:hint="eastAsia" w:ascii="方正仿宋简体" w:eastAsia="方正仿宋_GBK" w:cs="方正仿宋简体"/>
                <w:kern w:val="0"/>
                <w:sz w:val="18"/>
                <w:szCs w:val="18"/>
              </w:rPr>
              <w:t>第十二条 特殊建设工程未经消防设计审查或者审查不合格的，建设单位、施工单位不得施工；其他建设工程，建设单位未提供满足施工需要的消防设计图纸及技术资料的，有关部门不得发放施工许可证或者批准开工报告。</w:t>
            </w: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widowControl/>
              <w:autoSpaceDN w:val="0"/>
              <w:rPr>
                <w:rFonts w:ascii="方正仿宋简体" w:eastAsia="方正仿宋_GBK" w:cs="方正仿宋简体"/>
                <w:kern w:val="0"/>
                <w:szCs w:val="21"/>
              </w:rPr>
            </w:pPr>
            <w:r>
              <w:rPr>
                <w:rFonts w:hint="eastAsia" w:ascii="方正仿宋简体" w:eastAsia="方正仿宋_GBK" w:cs="方正仿宋简体"/>
                <w:kern w:val="0"/>
                <w:szCs w:val="21"/>
              </w:rPr>
              <w:t>《中华人民共和国消防法》第五十八条第一款 违反本法规定，有下列行为之一的，由住房和城乡建设主管部门、消防救援机构按照各自职权责令停止施工、停止使用或者停产停业，并处三万元以上三十万元以下罚款：</w:t>
            </w:r>
          </w:p>
          <w:p>
            <w:pPr>
              <w:widowControl/>
              <w:autoSpaceDN w:val="0"/>
              <w:rPr>
                <w:rFonts w:ascii="方正仿宋简体" w:eastAsia="方正仿宋简体" w:cs="方正仿宋简体"/>
                <w:kern w:val="0"/>
                <w:szCs w:val="21"/>
              </w:rPr>
            </w:pPr>
            <w:r>
              <w:rPr>
                <w:rFonts w:hint="eastAsia" w:ascii="方正仿宋简体" w:eastAsia="方正仿宋_GBK" w:cs="方正仿宋简体"/>
                <w:kern w:val="0"/>
                <w:szCs w:val="21"/>
              </w:rPr>
              <w:t>（一）依法应当进行消防设计审查的建设工程，未经依法审查或者审查不合格，擅自施工的；</w:t>
            </w:r>
          </w:p>
        </w:tc>
        <w:tc>
          <w:tcPr>
            <w:tcW w:w="1191" w:type="dxa"/>
            <w:tcBorders>
              <w:top w:val="single" w:color="auto" w:sz="4" w:space="0"/>
              <w:left w:val="single" w:color="auto" w:sz="4" w:space="0"/>
              <w:bottom w:val="single" w:color="auto" w:sz="4" w:space="0"/>
              <w:right w:val="single" w:color="auto" w:sz="4" w:space="0"/>
            </w:tcBorders>
            <w:vAlign w:val="center"/>
          </w:tcPr>
          <w:p>
            <w:pPr>
              <w:widowControl/>
              <w:autoSpaceDN w:val="0"/>
              <w:jc w:val="center"/>
              <w:rPr>
                <w:rFonts w:ascii="方正仿宋简体" w:eastAsia="方正仿宋简体" w:cs="方正仿宋简体"/>
                <w:kern w:val="0"/>
                <w:szCs w:val="21"/>
              </w:rPr>
            </w:pPr>
            <w:r>
              <w:rPr>
                <w:rFonts w:hint="eastAsia" w:ascii="方正仿宋简体" w:eastAsia="方正仿宋_GBK" w:cs="方正仿宋简体"/>
                <w:szCs w:val="21"/>
              </w:rPr>
              <w:t>较轻</w:t>
            </w:r>
          </w:p>
        </w:tc>
        <w:tc>
          <w:tcPr>
            <w:tcW w:w="4252" w:type="dxa"/>
            <w:tcBorders>
              <w:top w:val="single" w:color="auto" w:sz="4" w:space="0"/>
              <w:left w:val="single" w:color="auto" w:sz="4" w:space="0"/>
              <w:bottom w:val="single" w:color="auto" w:sz="4" w:space="0"/>
              <w:right w:val="single" w:color="auto" w:sz="4" w:space="0"/>
            </w:tcBorders>
            <w:vAlign w:val="center"/>
          </w:tcPr>
          <w:p>
            <w:pPr>
              <w:widowControl/>
              <w:autoSpaceDN w:val="0"/>
              <w:spacing w:line="240" w:lineRule="exact"/>
              <w:rPr>
                <w:rFonts w:ascii="方正仿宋简体" w:eastAsia="方正仿宋_GBK" w:cs="方正仿宋简体"/>
                <w:kern w:val="0"/>
                <w:sz w:val="18"/>
                <w:szCs w:val="18"/>
              </w:rPr>
            </w:pPr>
            <w:r>
              <w:rPr>
                <w:rFonts w:hint="eastAsia" w:ascii="方正仿宋简体" w:eastAsia="方正仿宋_GBK" w:cs="方正仿宋简体"/>
                <w:kern w:val="0"/>
                <w:sz w:val="18"/>
                <w:szCs w:val="18"/>
              </w:rPr>
              <w:t>（一）建筑总面积一万平方米以上、不足三万平方米的宾馆、饭店、商场、市场；</w:t>
            </w:r>
          </w:p>
          <w:p>
            <w:pPr>
              <w:widowControl/>
              <w:autoSpaceDN w:val="0"/>
              <w:spacing w:line="240" w:lineRule="exact"/>
              <w:rPr>
                <w:rFonts w:ascii="方正仿宋简体" w:eastAsia="方正仿宋_GBK" w:cs="方正仿宋简体"/>
                <w:kern w:val="0"/>
                <w:sz w:val="18"/>
                <w:szCs w:val="18"/>
              </w:rPr>
            </w:pPr>
            <w:r>
              <w:rPr>
                <w:rFonts w:hint="eastAsia" w:ascii="方正仿宋简体" w:eastAsia="方正仿宋_GBK" w:cs="方正仿宋简体"/>
                <w:kern w:val="0"/>
                <w:sz w:val="18"/>
                <w:szCs w:val="18"/>
              </w:rPr>
              <w:t>（二）建筑总面积二千五百平方米以上、不足五千平方米的影剧院，公共图书馆的阅览室，营业性室内健身、休闲场馆，医院的门诊楼，大学的教学楼、图书馆、食堂，劳动密集型企业的生产加工车间，寺庙、教堂；</w:t>
            </w:r>
          </w:p>
          <w:p>
            <w:pPr>
              <w:widowControl/>
              <w:autoSpaceDN w:val="0"/>
              <w:spacing w:line="240" w:lineRule="exact"/>
              <w:rPr>
                <w:rFonts w:ascii="方正仿宋简体" w:eastAsia="方正仿宋_GBK" w:cs="方正仿宋简体"/>
                <w:kern w:val="0"/>
                <w:sz w:val="18"/>
                <w:szCs w:val="18"/>
              </w:rPr>
            </w:pPr>
            <w:r>
              <w:rPr>
                <w:rFonts w:hint="eastAsia" w:ascii="方正仿宋简体" w:eastAsia="方正仿宋_GBK" w:cs="方正仿宋简体"/>
                <w:kern w:val="0"/>
                <w:sz w:val="18"/>
                <w:szCs w:val="18"/>
              </w:rPr>
              <w:t>（三）建筑总面积一千平方米以上、不足五千平方米的托儿所、幼儿园的儿童用房，儿童游乐厅等室内儿童活动场所，养老院、福利院，医院、疗养院的病房楼，中小学校的教学楼、图书馆、食堂，学校的集体宿舍，劳动密集型企业的员工集体宿舍；</w:t>
            </w:r>
          </w:p>
          <w:p>
            <w:pPr>
              <w:widowControl/>
              <w:autoSpaceDN w:val="0"/>
              <w:spacing w:line="240" w:lineRule="exact"/>
              <w:rPr>
                <w:rFonts w:ascii="方正仿宋简体" w:eastAsia="方正仿宋_GBK" w:cs="方正仿宋简体"/>
                <w:kern w:val="0"/>
                <w:sz w:val="18"/>
                <w:szCs w:val="18"/>
              </w:rPr>
            </w:pPr>
            <w:r>
              <w:rPr>
                <w:rFonts w:hint="eastAsia" w:ascii="方正仿宋简体" w:eastAsia="方正仿宋_GBK" w:cs="方正仿宋简体"/>
                <w:kern w:val="0"/>
                <w:sz w:val="18"/>
                <w:szCs w:val="18"/>
              </w:rPr>
              <w:t>（四）建筑总面积五百平方米以上、不足二千平方米的歌舞厅、录像厅、放映厅、卡拉ＯＫ厅、夜总会、游艺厅、桑拿浴室、网吧、酒吧，具有娱乐功能的餐馆、茶馆、咖啡厅；</w:t>
            </w:r>
          </w:p>
          <w:p>
            <w:pPr>
              <w:widowControl/>
              <w:autoSpaceDN w:val="0"/>
              <w:spacing w:line="240" w:lineRule="exact"/>
              <w:rPr>
                <w:rFonts w:ascii="方正仿宋简体" w:eastAsia="方正仿宋_GBK" w:cs="方正仿宋简体"/>
                <w:kern w:val="0"/>
                <w:sz w:val="18"/>
                <w:szCs w:val="18"/>
              </w:rPr>
            </w:pPr>
            <w:r>
              <w:rPr>
                <w:rFonts w:hint="eastAsia" w:ascii="方正仿宋简体" w:eastAsia="方正仿宋_GBK" w:cs="方正仿宋简体"/>
                <w:kern w:val="0"/>
                <w:sz w:val="18"/>
                <w:szCs w:val="18"/>
              </w:rPr>
              <w:t>（五）建筑总面积不足一万平方米的国家机关办公楼、电力调度楼、电信楼、邮政楼、防灾指挥调度楼、广播电视楼、档案楼；</w:t>
            </w:r>
          </w:p>
          <w:p>
            <w:pPr>
              <w:widowControl/>
              <w:autoSpaceDN w:val="0"/>
              <w:spacing w:line="240" w:lineRule="exact"/>
              <w:rPr>
                <w:rFonts w:ascii="方正仿宋简体" w:eastAsia="方正仿宋_GBK" w:cs="方正仿宋简体"/>
                <w:kern w:val="0"/>
                <w:sz w:val="18"/>
                <w:szCs w:val="18"/>
              </w:rPr>
            </w:pPr>
            <w:r>
              <w:rPr>
                <w:rFonts w:hint="eastAsia" w:ascii="方正仿宋简体" w:eastAsia="方正仿宋_GBK" w:cs="方正仿宋简体"/>
                <w:kern w:val="0"/>
                <w:sz w:val="18"/>
                <w:szCs w:val="18"/>
              </w:rPr>
              <w:t>（六）国家标准规定的一类高层住宅建筑且建筑高度不足一百米；</w:t>
            </w:r>
          </w:p>
          <w:p>
            <w:pPr>
              <w:widowControl/>
              <w:autoSpaceDN w:val="0"/>
              <w:spacing w:line="240" w:lineRule="exact"/>
              <w:rPr>
                <w:rFonts w:ascii="方正仿宋简体" w:eastAsia="方正仿宋_GBK" w:cs="方正仿宋简体"/>
                <w:kern w:val="0"/>
                <w:sz w:val="18"/>
                <w:szCs w:val="18"/>
              </w:rPr>
            </w:pPr>
            <w:r>
              <w:rPr>
                <w:rFonts w:hint="eastAsia" w:ascii="方正仿宋简体" w:eastAsia="方正仿宋_GBK" w:cs="方正仿宋简体"/>
                <w:kern w:val="0"/>
                <w:sz w:val="18"/>
                <w:szCs w:val="18"/>
              </w:rPr>
              <w:t>（七）生产、储存易燃易爆危险物品，液体、气体总储量不足一千立方米，固体总储量不足五千千克的工厂、仓库；</w:t>
            </w:r>
          </w:p>
          <w:p>
            <w:pPr>
              <w:widowControl/>
              <w:autoSpaceDN w:val="0"/>
              <w:spacing w:line="240" w:lineRule="exact"/>
              <w:rPr>
                <w:rFonts w:ascii="方正仿宋简体" w:eastAsia="方正仿宋简体" w:cs="方正仿宋简体"/>
                <w:kern w:val="0"/>
                <w:szCs w:val="21"/>
              </w:rPr>
            </w:pPr>
            <w:r>
              <w:rPr>
                <w:rFonts w:hint="eastAsia" w:ascii="方正仿宋简体" w:eastAsia="方正仿宋_GBK" w:cs="方正仿宋简体"/>
                <w:kern w:val="0"/>
                <w:sz w:val="18"/>
                <w:szCs w:val="18"/>
              </w:rPr>
              <w:t>（八）加油站、加油加气站，装卸易燃易爆危险物品专用车站、码头，易燃易爆气体和液体的调压站。</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autoSpaceDN w:val="0"/>
              <w:rPr>
                <w:rFonts w:ascii="方正仿宋简体" w:eastAsia="方正仿宋简体" w:cs="方正仿宋简体"/>
                <w:kern w:val="0"/>
                <w:szCs w:val="21"/>
              </w:rPr>
            </w:pPr>
            <w:r>
              <w:rPr>
                <w:rFonts w:hint="eastAsia" w:ascii="方正仿宋简体" w:eastAsia="方正仿宋_GBK" w:cs="方正仿宋简体"/>
                <w:kern w:val="0"/>
                <w:szCs w:val="21"/>
              </w:rPr>
              <w:t>处三万元以上十万元以下罚款</w:t>
            </w:r>
          </w:p>
        </w:tc>
        <w:tc>
          <w:tcPr>
            <w:tcW w:w="1191" w:type="dxa"/>
            <w:vMerge w:val="restart"/>
            <w:tcBorders>
              <w:top w:val="single" w:color="auto" w:sz="4" w:space="0"/>
              <w:left w:val="single" w:color="auto" w:sz="4" w:space="0"/>
              <w:bottom w:val="single" w:color="auto" w:sz="4" w:space="0"/>
              <w:right w:val="single" w:color="auto" w:sz="4" w:space="0"/>
            </w:tcBorders>
            <w:vAlign w:val="center"/>
          </w:tcPr>
          <w:p>
            <w:pPr>
              <w:widowControl/>
              <w:autoSpaceDN w:val="0"/>
              <w:rPr>
                <w:rFonts w:ascii="方正仿宋简体" w:eastAsia="方正仿宋简体" w:cs="方正仿宋简体"/>
                <w:spacing w:val="8"/>
                <w:szCs w:val="21"/>
              </w:rPr>
            </w:pPr>
            <w:r>
              <w:rPr>
                <w:rFonts w:hint="eastAsia" w:ascii="方正仿宋简体" w:eastAsia="方正仿宋_GBK" w:cs="方正仿宋简体"/>
                <w:kern w:val="0"/>
                <w:szCs w:val="21"/>
              </w:rPr>
              <w:t>住房和城乡建设主管部门、消防救援机构按照各自职权责令停止施工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17" w:hRule="atLeast"/>
          <w:jc w:val="center"/>
        </w:trPr>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3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191" w:type="dxa"/>
            <w:tcBorders>
              <w:top w:val="single" w:color="auto" w:sz="4" w:space="0"/>
              <w:left w:val="single" w:color="auto" w:sz="4" w:space="0"/>
              <w:bottom w:val="single" w:color="auto" w:sz="4" w:space="0"/>
              <w:right w:val="single" w:color="auto" w:sz="4" w:space="0"/>
            </w:tcBorders>
            <w:vAlign w:val="center"/>
          </w:tcPr>
          <w:p>
            <w:pPr>
              <w:autoSpaceDN w:val="0"/>
              <w:spacing w:line="271" w:lineRule="auto"/>
              <w:jc w:val="center"/>
              <w:rPr>
                <w:rFonts w:ascii="方正仿宋简体" w:eastAsia="方正仿宋简体" w:cs="方正仿宋简体"/>
                <w:kern w:val="0"/>
                <w:szCs w:val="21"/>
              </w:rPr>
            </w:pPr>
            <w:r>
              <w:rPr>
                <w:rFonts w:hint="eastAsia" w:ascii="方正仿宋简体" w:eastAsia="方正仿宋_GBK" w:cs="方正仿宋简体"/>
                <w:szCs w:val="21"/>
              </w:rPr>
              <w:t>较重</w:t>
            </w:r>
          </w:p>
        </w:tc>
        <w:tc>
          <w:tcPr>
            <w:tcW w:w="4252" w:type="dxa"/>
            <w:tcBorders>
              <w:top w:val="single" w:color="auto" w:sz="4" w:space="0"/>
              <w:left w:val="single" w:color="auto" w:sz="4" w:space="0"/>
              <w:bottom w:val="single" w:color="auto" w:sz="4" w:space="0"/>
              <w:right w:val="single" w:color="auto" w:sz="4" w:space="0"/>
            </w:tcBorders>
            <w:vAlign w:val="center"/>
          </w:tcPr>
          <w:p>
            <w:pPr>
              <w:widowControl/>
              <w:autoSpaceDN w:val="0"/>
              <w:spacing w:line="240" w:lineRule="exact"/>
              <w:rPr>
                <w:rFonts w:ascii="方正仿宋简体" w:eastAsia="方正仿宋_GBK" w:cs="方正仿宋简体"/>
                <w:kern w:val="0"/>
                <w:sz w:val="18"/>
                <w:szCs w:val="18"/>
              </w:rPr>
            </w:pPr>
            <w:r>
              <w:rPr>
                <w:rFonts w:hint="eastAsia" w:ascii="方正仿宋简体" w:eastAsia="方正仿宋_GBK" w:cs="方正仿宋简体"/>
                <w:kern w:val="0"/>
                <w:sz w:val="18"/>
                <w:szCs w:val="18"/>
              </w:rPr>
              <w:t>（一）建筑总面积三万平方米以上、不足五万平方米的宾馆、饭店、商场、市场；</w:t>
            </w:r>
          </w:p>
          <w:p>
            <w:pPr>
              <w:widowControl/>
              <w:autoSpaceDN w:val="0"/>
              <w:spacing w:line="240" w:lineRule="exact"/>
              <w:rPr>
                <w:rFonts w:ascii="方正仿宋简体" w:eastAsia="方正仿宋_GBK" w:cs="方正仿宋简体"/>
                <w:kern w:val="0"/>
                <w:sz w:val="18"/>
                <w:szCs w:val="18"/>
              </w:rPr>
            </w:pPr>
            <w:r>
              <w:rPr>
                <w:rFonts w:hint="eastAsia" w:ascii="方正仿宋简体" w:eastAsia="方正仿宋_GBK" w:cs="方正仿宋简体"/>
                <w:kern w:val="0"/>
                <w:sz w:val="18"/>
                <w:szCs w:val="18"/>
              </w:rPr>
              <w:t>（二）建筑总面积五千平方米以上、不足一万平方米的影剧院，公共图书馆的阅览室，营业性室内健身、休闲场馆，医院的门诊楼，大学的教学楼、图书馆、食堂，劳动密集型企业的生产加工车间，寺庙、教堂；</w:t>
            </w:r>
          </w:p>
          <w:p>
            <w:pPr>
              <w:widowControl/>
              <w:autoSpaceDN w:val="0"/>
              <w:spacing w:line="240" w:lineRule="exact"/>
              <w:rPr>
                <w:rFonts w:ascii="方正仿宋简体" w:eastAsia="方正仿宋_GBK" w:cs="方正仿宋简体"/>
                <w:kern w:val="0"/>
                <w:sz w:val="18"/>
                <w:szCs w:val="18"/>
              </w:rPr>
            </w:pPr>
            <w:r>
              <w:rPr>
                <w:rFonts w:hint="eastAsia" w:ascii="方正仿宋简体" w:eastAsia="方正仿宋_GBK" w:cs="方正仿宋简体"/>
                <w:kern w:val="0"/>
                <w:sz w:val="18"/>
                <w:szCs w:val="18"/>
              </w:rPr>
              <w:t>（三）建筑总面积五千平方米以上的托儿所、幼儿园的儿童用房，儿童游乐厅等室内儿童活动场所，养老院、福利院，医院、疗养院的病房楼，中小学校的教学楼、图书馆、食堂，学校的集体宿舍，劳动密集型企业的员工集体宿舍；</w:t>
            </w:r>
          </w:p>
          <w:p>
            <w:pPr>
              <w:widowControl/>
              <w:autoSpaceDN w:val="0"/>
              <w:spacing w:line="240" w:lineRule="exact"/>
              <w:rPr>
                <w:rFonts w:ascii="方正仿宋简体" w:eastAsia="方正仿宋_GBK" w:cs="方正仿宋简体"/>
                <w:kern w:val="0"/>
                <w:sz w:val="18"/>
                <w:szCs w:val="18"/>
              </w:rPr>
            </w:pPr>
            <w:r>
              <w:rPr>
                <w:rFonts w:hint="eastAsia" w:ascii="方正仿宋简体" w:eastAsia="方正仿宋_GBK" w:cs="方正仿宋简体"/>
                <w:kern w:val="0"/>
                <w:sz w:val="18"/>
                <w:szCs w:val="18"/>
              </w:rPr>
              <w:t>（四）建筑总面积二千平方米以上、不足五千平方米的歌舞厅、录像厅、放映厅、卡拉ＯＫ厅、夜总会、游艺厅、桑拿浴室、网吧、酒吧，具有娱乐功能的餐馆、茶馆、咖啡厅；</w:t>
            </w:r>
          </w:p>
          <w:p>
            <w:pPr>
              <w:widowControl/>
              <w:autoSpaceDN w:val="0"/>
              <w:spacing w:line="240" w:lineRule="exact"/>
              <w:rPr>
                <w:rFonts w:ascii="方正仿宋简体" w:eastAsia="方正仿宋_GBK" w:cs="方正仿宋简体"/>
                <w:kern w:val="0"/>
                <w:sz w:val="18"/>
                <w:szCs w:val="18"/>
              </w:rPr>
            </w:pPr>
            <w:r>
              <w:rPr>
                <w:rFonts w:hint="eastAsia" w:ascii="方正仿宋简体" w:eastAsia="方正仿宋_GBK" w:cs="方正仿宋简体"/>
                <w:kern w:val="0"/>
                <w:sz w:val="18"/>
                <w:szCs w:val="18"/>
              </w:rPr>
              <w:t>（五）建筑总面积一万平方米以上、不足三万平方米的国家机关办公楼、电力调度楼、电信楼、邮政楼、防灾指挥调度楼、广播电视楼、档案楼；</w:t>
            </w:r>
          </w:p>
          <w:p>
            <w:pPr>
              <w:widowControl/>
              <w:autoSpaceDN w:val="0"/>
              <w:spacing w:line="240" w:lineRule="exact"/>
              <w:rPr>
                <w:rFonts w:ascii="方正仿宋简体" w:eastAsia="方正仿宋_GBK" w:cs="方正仿宋简体"/>
                <w:kern w:val="0"/>
                <w:sz w:val="18"/>
                <w:szCs w:val="18"/>
              </w:rPr>
            </w:pPr>
            <w:r>
              <w:rPr>
                <w:rFonts w:hint="eastAsia" w:ascii="方正仿宋简体" w:eastAsia="方正仿宋_GBK" w:cs="方正仿宋简体"/>
                <w:kern w:val="0"/>
                <w:sz w:val="18"/>
                <w:szCs w:val="18"/>
              </w:rPr>
              <w:t>（六）单体建筑面积四万平方米以上、不足十万平方米或者建筑高度五十米以上不足一百米的公共建筑；</w:t>
            </w:r>
          </w:p>
          <w:p>
            <w:pPr>
              <w:widowControl/>
              <w:autoSpaceDN w:val="0"/>
              <w:spacing w:line="240" w:lineRule="exact"/>
              <w:rPr>
                <w:rFonts w:ascii="方正仿宋简体" w:eastAsia="方正仿宋_GBK" w:cs="方正仿宋简体"/>
                <w:kern w:val="0"/>
                <w:sz w:val="18"/>
                <w:szCs w:val="18"/>
              </w:rPr>
            </w:pPr>
            <w:r>
              <w:rPr>
                <w:rFonts w:hint="eastAsia" w:ascii="方正仿宋简体" w:eastAsia="方正仿宋_GBK" w:cs="方正仿宋简体"/>
                <w:kern w:val="0"/>
                <w:sz w:val="18"/>
                <w:szCs w:val="18"/>
              </w:rPr>
              <w:t>（七）国家标准规定的一类高层住宅建筑且建筑高度一百米以上；</w:t>
            </w:r>
          </w:p>
          <w:p>
            <w:pPr>
              <w:widowControl/>
              <w:autoSpaceDN w:val="0"/>
              <w:spacing w:line="240" w:lineRule="exact"/>
              <w:rPr>
                <w:rFonts w:ascii="方正仿宋简体" w:eastAsia="方正仿宋简体" w:cs="方正仿宋简体"/>
                <w:kern w:val="0"/>
                <w:szCs w:val="21"/>
              </w:rPr>
            </w:pPr>
            <w:r>
              <w:rPr>
                <w:rFonts w:hint="eastAsia" w:ascii="方正仿宋简体" w:eastAsia="方正仿宋_GBK" w:cs="方正仿宋简体"/>
                <w:kern w:val="0"/>
                <w:sz w:val="18"/>
                <w:szCs w:val="18"/>
              </w:rPr>
              <w:t>（八）生产、储存易燃易爆危险物品，液体、气体总储量一千立方米以上、不足三千立方米，固体总储量五千千克以上、不足十千千克的工厂、仓库，以及除加油加气站以外的易燃易爆气体和液体的充装站、供应站。</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autoSpaceDN w:val="0"/>
              <w:rPr>
                <w:rFonts w:ascii="方正仿宋简体" w:eastAsia="方正仿宋简体" w:cs="方正仿宋简体"/>
                <w:kern w:val="0"/>
                <w:szCs w:val="21"/>
              </w:rPr>
            </w:pPr>
            <w:r>
              <w:rPr>
                <w:rFonts w:hint="eastAsia" w:ascii="方正仿宋简体" w:eastAsia="方正仿宋_GBK" w:cs="方正仿宋简体"/>
                <w:kern w:val="0"/>
                <w:szCs w:val="21"/>
              </w:rPr>
              <w:t>处十万元以上二十万元以下罚款</w:t>
            </w:r>
          </w:p>
        </w:tc>
        <w:tc>
          <w:tcPr>
            <w:tcW w:w="11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spacing w:val="8"/>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24" w:hRule="atLeast"/>
          <w:jc w:val="center"/>
        </w:trPr>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3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191" w:type="dxa"/>
            <w:tcBorders>
              <w:top w:val="single" w:color="auto" w:sz="4" w:space="0"/>
              <w:left w:val="single" w:color="auto" w:sz="4" w:space="0"/>
              <w:bottom w:val="single" w:color="auto" w:sz="4" w:space="0"/>
              <w:right w:val="single" w:color="auto" w:sz="4" w:space="0"/>
            </w:tcBorders>
            <w:vAlign w:val="center"/>
          </w:tcPr>
          <w:p>
            <w:pPr>
              <w:autoSpaceDN w:val="0"/>
              <w:spacing w:line="271" w:lineRule="auto"/>
              <w:jc w:val="center"/>
              <w:rPr>
                <w:rFonts w:ascii="方正仿宋简体" w:eastAsia="方正仿宋简体" w:cs="方正仿宋简体"/>
                <w:kern w:val="0"/>
                <w:szCs w:val="21"/>
              </w:rPr>
            </w:pPr>
            <w:r>
              <w:rPr>
                <w:rFonts w:hint="eastAsia" w:ascii="方正仿宋简体" w:eastAsia="方正仿宋简体" w:cs="方正仿宋简体"/>
                <w:szCs w:val="21"/>
              </w:rPr>
              <w:t>严重</w:t>
            </w:r>
          </w:p>
        </w:tc>
        <w:tc>
          <w:tcPr>
            <w:tcW w:w="4252" w:type="dxa"/>
            <w:tcBorders>
              <w:top w:val="single" w:color="auto" w:sz="4" w:space="0"/>
              <w:left w:val="single" w:color="auto" w:sz="4" w:space="0"/>
              <w:bottom w:val="single" w:color="auto" w:sz="4" w:space="0"/>
              <w:right w:val="single" w:color="auto" w:sz="4" w:space="0"/>
            </w:tcBorders>
            <w:vAlign w:val="center"/>
          </w:tcPr>
          <w:p>
            <w:pPr>
              <w:widowControl/>
              <w:autoSpaceDN w:val="0"/>
              <w:spacing w:line="240" w:lineRule="exact"/>
              <w:rPr>
                <w:rFonts w:ascii="方正仿宋简体" w:eastAsia="方正仿宋_GBK" w:cs="方正仿宋简体"/>
                <w:kern w:val="0"/>
                <w:sz w:val="18"/>
                <w:szCs w:val="18"/>
              </w:rPr>
            </w:pPr>
            <w:r>
              <w:rPr>
                <w:rFonts w:hint="eastAsia" w:ascii="方正仿宋简体" w:eastAsia="方正仿宋_GBK" w:cs="方正仿宋简体"/>
                <w:kern w:val="0"/>
                <w:sz w:val="18"/>
                <w:szCs w:val="18"/>
              </w:rPr>
              <w:t>(一)建筑总面积二万平方米以上的体育场馆、会堂，公共展览馆、博物馆的展示厅；</w:t>
            </w:r>
          </w:p>
          <w:p>
            <w:pPr>
              <w:widowControl/>
              <w:autoSpaceDN w:val="0"/>
              <w:spacing w:line="240" w:lineRule="exact"/>
              <w:rPr>
                <w:rFonts w:ascii="方正仿宋简体" w:eastAsia="方正仿宋_GBK" w:cs="方正仿宋简体"/>
                <w:kern w:val="0"/>
                <w:sz w:val="18"/>
                <w:szCs w:val="18"/>
              </w:rPr>
            </w:pPr>
            <w:r>
              <w:rPr>
                <w:rFonts w:hint="eastAsia" w:ascii="方正仿宋简体" w:eastAsia="方正仿宋_GBK" w:cs="方正仿宋简体"/>
                <w:kern w:val="0"/>
                <w:sz w:val="18"/>
                <w:szCs w:val="18"/>
              </w:rPr>
              <w:t>(二)建筑总面积一万五千平方米以上的民用机场航站楼、客运车站候车室、客运码头候船厅；</w:t>
            </w:r>
          </w:p>
          <w:p>
            <w:pPr>
              <w:widowControl/>
              <w:autoSpaceDN w:val="0"/>
              <w:spacing w:line="240" w:lineRule="exact"/>
              <w:rPr>
                <w:rFonts w:ascii="方正仿宋简体" w:eastAsia="方正仿宋_GBK" w:cs="方正仿宋简体"/>
                <w:kern w:val="0"/>
                <w:sz w:val="18"/>
                <w:szCs w:val="18"/>
              </w:rPr>
            </w:pPr>
            <w:r>
              <w:rPr>
                <w:rFonts w:hint="eastAsia" w:ascii="方正仿宋简体" w:eastAsia="方正仿宋_GBK" w:cs="方正仿宋简体"/>
                <w:kern w:val="0"/>
                <w:sz w:val="18"/>
                <w:szCs w:val="18"/>
              </w:rPr>
              <w:t>（三）建筑总面积五万平方米以上的宾馆、饭店、商场、市场；</w:t>
            </w:r>
          </w:p>
          <w:p>
            <w:pPr>
              <w:widowControl/>
              <w:autoSpaceDN w:val="0"/>
              <w:spacing w:line="240" w:lineRule="exact"/>
              <w:rPr>
                <w:rFonts w:ascii="方正仿宋简体" w:eastAsia="方正仿宋_GBK" w:cs="方正仿宋简体"/>
                <w:kern w:val="0"/>
                <w:sz w:val="18"/>
                <w:szCs w:val="18"/>
              </w:rPr>
            </w:pPr>
            <w:r>
              <w:rPr>
                <w:rFonts w:hint="eastAsia" w:ascii="方正仿宋简体" w:eastAsia="方正仿宋_GBK" w:cs="方正仿宋简体"/>
                <w:kern w:val="0"/>
                <w:sz w:val="18"/>
                <w:szCs w:val="18"/>
              </w:rPr>
              <w:t>（四）建筑总面积一万平方米以上的影剧院，公共图书馆的阅览室，营业性室内健身、休闲场馆，医院的门诊楼，大学的教学楼、图书馆、食堂，劳动密集型企业的生产加工车间，寺庙、教堂；</w:t>
            </w:r>
          </w:p>
          <w:p>
            <w:pPr>
              <w:widowControl/>
              <w:autoSpaceDN w:val="0"/>
              <w:spacing w:line="240" w:lineRule="exact"/>
              <w:rPr>
                <w:rFonts w:ascii="方正仿宋简体" w:eastAsia="方正仿宋_GBK" w:cs="方正仿宋简体"/>
                <w:kern w:val="0"/>
                <w:sz w:val="18"/>
                <w:szCs w:val="18"/>
              </w:rPr>
            </w:pPr>
            <w:r>
              <w:rPr>
                <w:rFonts w:hint="eastAsia" w:ascii="方正仿宋简体" w:eastAsia="方正仿宋_GBK" w:cs="方正仿宋简体"/>
                <w:kern w:val="0"/>
                <w:sz w:val="18"/>
                <w:szCs w:val="18"/>
              </w:rPr>
              <w:t>（五）建筑总面积五千平方米以上的歌舞厅、录像厅、放映厅、卡拉ＯＫ厅、夜总会、游艺厅、桑拿浴室、网吧、酒吧，具有娱乐功能的餐馆、茶馆、咖啡厅；</w:t>
            </w:r>
          </w:p>
          <w:p>
            <w:pPr>
              <w:widowControl/>
              <w:autoSpaceDN w:val="0"/>
              <w:spacing w:line="240" w:lineRule="exact"/>
              <w:rPr>
                <w:rFonts w:ascii="方正仿宋简体" w:eastAsia="方正仿宋_GBK" w:cs="方正仿宋简体"/>
                <w:kern w:val="0"/>
                <w:sz w:val="18"/>
                <w:szCs w:val="18"/>
              </w:rPr>
            </w:pPr>
            <w:r>
              <w:rPr>
                <w:rFonts w:hint="eastAsia" w:ascii="方正仿宋简体" w:eastAsia="方正仿宋_GBK" w:cs="方正仿宋简体"/>
                <w:kern w:val="0"/>
                <w:sz w:val="18"/>
                <w:szCs w:val="18"/>
              </w:rPr>
              <w:t>（七）建筑总面积三万平方米以上的国家机关办公楼、电力调度楼、电信楼、邮政楼、防灾指挥调度楼、广播电视楼、档案楼；</w:t>
            </w:r>
          </w:p>
          <w:p>
            <w:pPr>
              <w:widowControl/>
              <w:autoSpaceDN w:val="0"/>
              <w:spacing w:line="240" w:lineRule="exact"/>
              <w:rPr>
                <w:rFonts w:ascii="方正仿宋简体" w:eastAsia="方正仿宋_GBK" w:cs="方正仿宋简体"/>
                <w:kern w:val="0"/>
                <w:sz w:val="18"/>
                <w:szCs w:val="18"/>
              </w:rPr>
            </w:pPr>
            <w:r>
              <w:rPr>
                <w:rFonts w:hint="eastAsia" w:ascii="方正仿宋简体" w:eastAsia="方正仿宋_GBK" w:cs="方正仿宋简体"/>
                <w:kern w:val="0"/>
                <w:sz w:val="18"/>
                <w:szCs w:val="18"/>
              </w:rPr>
              <w:t>（八）单体建筑面积十万平方米以上或者建筑高度一百米以上的公共建筑；</w:t>
            </w:r>
          </w:p>
          <w:p>
            <w:pPr>
              <w:widowControl/>
              <w:autoSpaceDN w:val="0"/>
              <w:spacing w:line="240" w:lineRule="exact"/>
              <w:rPr>
                <w:rFonts w:ascii="方正仿宋简体" w:eastAsia="方正仿宋_GBK" w:cs="方正仿宋简体"/>
                <w:kern w:val="0"/>
                <w:sz w:val="18"/>
                <w:szCs w:val="18"/>
              </w:rPr>
            </w:pPr>
            <w:r>
              <w:rPr>
                <w:rFonts w:hint="eastAsia" w:ascii="方正仿宋简体" w:eastAsia="方正仿宋_GBK" w:cs="方正仿宋简体"/>
                <w:kern w:val="0"/>
                <w:sz w:val="18"/>
                <w:szCs w:val="18"/>
              </w:rPr>
              <w:t>（九）城市轨道交通、隧道工程，大型发电、变配电工程。</w:t>
            </w:r>
          </w:p>
          <w:p>
            <w:pPr>
              <w:widowControl/>
              <w:autoSpaceDN w:val="0"/>
              <w:spacing w:line="240" w:lineRule="exact"/>
              <w:rPr>
                <w:rFonts w:ascii="方正仿宋简体" w:eastAsia="方正仿宋简体" w:cs="方正仿宋简体"/>
                <w:kern w:val="0"/>
                <w:szCs w:val="21"/>
              </w:rPr>
            </w:pPr>
            <w:r>
              <w:rPr>
                <w:rFonts w:hint="eastAsia" w:ascii="方正仿宋简体" w:eastAsia="方正仿宋_GBK" w:cs="方正仿宋简体"/>
                <w:kern w:val="0"/>
                <w:sz w:val="18"/>
                <w:szCs w:val="18"/>
              </w:rPr>
              <w:t>（十）生产、储存易燃易爆危险物品，液体、气体总储量三千立方米以上，固体总储量十千千克以上的工厂、仓库。</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autoSpaceDN w:val="0"/>
              <w:rPr>
                <w:rFonts w:ascii="方正仿宋简体" w:eastAsia="方正仿宋简体" w:cs="方正仿宋简体"/>
                <w:kern w:val="0"/>
                <w:szCs w:val="21"/>
              </w:rPr>
            </w:pPr>
            <w:r>
              <w:rPr>
                <w:rFonts w:hint="eastAsia" w:ascii="方正仿宋简体" w:eastAsia="方正仿宋_GBK" w:cs="方正仿宋简体"/>
                <w:kern w:val="0"/>
                <w:szCs w:val="21"/>
              </w:rPr>
              <w:t>处二十万元以上三十万元以下罚款</w:t>
            </w:r>
          </w:p>
        </w:tc>
        <w:tc>
          <w:tcPr>
            <w:tcW w:w="11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spacing w:val="8"/>
                <w:szCs w:val="21"/>
              </w:rPr>
            </w:pPr>
          </w:p>
        </w:tc>
      </w:tr>
    </w:tbl>
    <w:p>
      <w:pPr>
        <w:autoSpaceDN w:val="0"/>
        <w:outlineLvl w:val="0"/>
        <w:rPr>
          <w:rFonts w:hint="eastAsia" w:ascii="方正黑体_GBK" w:eastAsia="方正黑体_GBK" w:cs="方正黑体_GBK"/>
          <w:sz w:val="32"/>
          <w:szCs w:val="32"/>
        </w:rPr>
      </w:pPr>
      <w:bookmarkStart w:id="9" w:name="《中华人民共和国招标投标法》（2017年12月27日修正）"/>
      <w:r>
        <w:rPr>
          <w:rFonts w:hint="eastAsia" w:ascii="方正黑体_GBK" w:eastAsia="方正黑体_GBK" w:cs="方正黑体_GBK"/>
          <w:sz w:val="32"/>
          <w:szCs w:val="32"/>
        </w:rPr>
        <w:t>《中华人民共和国招标投标法》（2017年12月27日修正）</w:t>
      </w:r>
      <w:bookmarkEnd w:id="9"/>
    </w:p>
    <w:tbl>
      <w:tblPr>
        <w:tblStyle w:val="8"/>
        <w:tblW w:w="1434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70"/>
        <w:gridCol w:w="2342"/>
        <w:gridCol w:w="1952"/>
        <w:gridCol w:w="3415"/>
        <w:gridCol w:w="546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80"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_GBK" w:eastAsia="方正仿宋_GBK" w:cs="方正仿宋_GBK"/>
                <w:b/>
                <w:bCs/>
                <w:kern w:val="0"/>
                <w:szCs w:val="21"/>
              </w:rPr>
            </w:pPr>
            <w:r>
              <w:rPr>
                <w:rFonts w:hint="eastAsia" w:ascii="方正仿宋_GBK" w:eastAsia="方正仿宋_GBK" w:cs="方正仿宋_GBK"/>
                <w:b/>
                <w:bCs/>
                <w:kern w:val="0"/>
                <w:szCs w:val="21"/>
              </w:rPr>
              <w:t>序号</w:t>
            </w:r>
          </w:p>
        </w:tc>
        <w:tc>
          <w:tcPr>
            <w:tcW w:w="1361"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_GBK" w:eastAsia="方正仿宋_GBK" w:cs="方正仿宋_GBK"/>
                <w:b/>
                <w:bCs/>
                <w:kern w:val="0"/>
                <w:szCs w:val="21"/>
              </w:rPr>
            </w:pPr>
            <w:r>
              <w:rPr>
                <w:rFonts w:hint="eastAsia" w:ascii="方正仿宋_GBK" w:eastAsia="方正仿宋_GBK" w:cs="方正仿宋_GBK"/>
                <w:b/>
                <w:bCs/>
                <w:kern w:val="0"/>
                <w:szCs w:val="21"/>
              </w:rPr>
              <w:t>基准编号</w:t>
            </w:r>
          </w:p>
        </w:tc>
        <w:tc>
          <w:tcPr>
            <w:tcW w:w="1134"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_GBK" w:eastAsia="方正仿宋_GBK" w:cs="方正仿宋_GBK"/>
                <w:b/>
                <w:bCs/>
                <w:kern w:val="0"/>
                <w:szCs w:val="21"/>
              </w:rPr>
            </w:pPr>
            <w:r>
              <w:rPr>
                <w:rFonts w:hint="eastAsia" w:ascii="方正仿宋_GBK" w:eastAsia="方正仿宋_GBK" w:cs="方正仿宋_GBK"/>
                <w:b/>
                <w:bCs/>
                <w:kern w:val="0"/>
                <w:szCs w:val="21"/>
              </w:rPr>
              <w:t>违法行为</w:t>
            </w:r>
          </w:p>
        </w:tc>
        <w:tc>
          <w:tcPr>
            <w:tcW w:w="1984"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_GBK" w:eastAsia="方正仿宋_GBK" w:cs="方正仿宋_GBK"/>
                <w:b/>
                <w:bCs/>
                <w:kern w:val="0"/>
                <w:szCs w:val="21"/>
              </w:rPr>
            </w:pPr>
            <w:r>
              <w:rPr>
                <w:rFonts w:hint="eastAsia" w:ascii="方正仿宋_GBK" w:eastAsia="方正仿宋_GBK" w:cs="方正仿宋_GBK"/>
                <w:b/>
                <w:bCs/>
                <w:kern w:val="0"/>
                <w:szCs w:val="21"/>
              </w:rPr>
              <w:t>违反条款</w:t>
            </w:r>
          </w:p>
        </w:tc>
        <w:tc>
          <w:tcPr>
            <w:tcW w:w="3175"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_GBK" w:eastAsia="方正仿宋_GBK" w:cs="方正仿宋_GBK"/>
                <w:b/>
                <w:bCs/>
                <w:kern w:val="0"/>
                <w:szCs w:val="21"/>
              </w:rPr>
            </w:pPr>
            <w:r>
              <w:rPr>
                <w:rFonts w:hint="eastAsia" w:ascii="方正仿宋_GBK" w:eastAsia="方正仿宋_GBK" w:cs="方正仿宋_GBK"/>
                <w:b/>
                <w:bCs/>
                <w:kern w:val="0"/>
                <w:szCs w:val="21"/>
              </w:rPr>
              <w:t>处罚依据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12" w:hRule="atLeast"/>
          <w:jc w:val="center"/>
        </w:trPr>
        <w:tc>
          <w:tcPr>
            <w:tcW w:w="680" w:type="dxa"/>
            <w:vMerge w:val="restart"/>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_GBK" w:eastAsia="方正仿宋_GBK" w:cs="方正仿宋_GBK"/>
                <w:szCs w:val="21"/>
              </w:rPr>
            </w:pPr>
            <w:r>
              <w:rPr>
                <w:rFonts w:hint="eastAsia" w:ascii="方正仿宋_GBK" w:eastAsia="方正仿宋_GBK" w:cs="方正仿宋_GBK"/>
                <w:szCs w:val="21"/>
              </w:rPr>
              <w:t>279</w:t>
            </w:r>
          </w:p>
        </w:tc>
        <w:tc>
          <w:tcPr>
            <w:tcW w:w="1361" w:type="dxa"/>
            <w:vMerge w:val="restart"/>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_GBK" w:eastAsia="方正仿宋_GBK" w:cs="方正仿宋_GBK"/>
                <w:szCs w:val="21"/>
              </w:rPr>
            </w:pPr>
            <w:r>
              <w:rPr>
                <w:rFonts w:hint="eastAsia" w:ascii="方正仿宋_GBK" w:eastAsia="方正仿宋_GBK" w:cs="方正仿宋_GBK"/>
                <w:szCs w:val="21"/>
              </w:rPr>
              <w:t>G060204901</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autoSpaceDN w:val="0"/>
              <w:jc w:val="left"/>
              <w:rPr>
                <w:rFonts w:ascii="方正仿宋_GBK" w:eastAsia="方正仿宋_GBK" w:cs="方正仿宋_GBK"/>
                <w:szCs w:val="21"/>
              </w:rPr>
            </w:pPr>
            <w:r>
              <w:rPr>
                <w:rFonts w:hint="eastAsia" w:ascii="方正仿宋_GBK" w:eastAsia="方正仿宋_GBK" w:cs="方正仿宋_GBK"/>
                <w:szCs w:val="21"/>
              </w:rPr>
              <w:t>必须进行招标的项目而不招标的，将必须进行招标的项目化整为零或者以其他任何方式规避招标的</w:t>
            </w:r>
          </w:p>
        </w:tc>
        <w:tc>
          <w:tcPr>
            <w:tcW w:w="1984" w:type="dxa"/>
            <w:vMerge w:val="restart"/>
            <w:tcBorders>
              <w:top w:val="single" w:color="auto" w:sz="4" w:space="0"/>
              <w:left w:val="single" w:color="auto" w:sz="4" w:space="0"/>
              <w:bottom w:val="single" w:color="auto" w:sz="4" w:space="0"/>
              <w:right w:val="single" w:color="auto" w:sz="4" w:space="0"/>
            </w:tcBorders>
            <w:vAlign w:val="center"/>
          </w:tcPr>
          <w:p>
            <w:pPr>
              <w:autoSpaceDN w:val="0"/>
              <w:spacing w:line="260" w:lineRule="exact"/>
              <w:rPr>
                <w:rFonts w:ascii="方正仿宋_GBK" w:eastAsia="方正仿宋_GBK" w:cs="方正仿宋_GBK"/>
                <w:szCs w:val="21"/>
              </w:rPr>
            </w:pPr>
            <w:r>
              <w:rPr>
                <w:rFonts w:hint="eastAsia" w:ascii="方正仿宋_GBK" w:eastAsia="方正仿宋_GBK" w:cs="方正仿宋_GBK"/>
                <w:szCs w:val="21"/>
              </w:rPr>
              <w:t>《中华人民共和国招标投标法》第四条 任何单位和个人不得将依法必须进行招标的项目化整为零或者以其他任何方式规避招标。</w:t>
            </w:r>
          </w:p>
          <w:p>
            <w:pPr>
              <w:autoSpaceDN w:val="0"/>
              <w:spacing w:line="260" w:lineRule="exact"/>
              <w:rPr>
                <w:rFonts w:ascii="方正仿宋_GBK" w:eastAsia="方正仿宋_GBK" w:cs="方正仿宋_GBK"/>
                <w:szCs w:val="21"/>
              </w:rPr>
            </w:pPr>
          </w:p>
          <w:p>
            <w:pPr>
              <w:autoSpaceDN w:val="0"/>
              <w:spacing w:line="260" w:lineRule="exact"/>
              <w:rPr>
                <w:rFonts w:ascii="方正仿宋_GBK" w:eastAsia="方正仿宋_GBK" w:cs="方正仿宋_GBK"/>
                <w:szCs w:val="21"/>
              </w:rPr>
            </w:pPr>
            <w:r>
              <w:rPr>
                <w:rFonts w:hint="eastAsia" w:ascii="方正仿宋_GBK" w:eastAsia="方正仿宋_GBK" w:cs="方正仿宋_GBK"/>
                <w:szCs w:val="21"/>
              </w:rPr>
              <w:t>《中华人民共和国招标投标法实施条例》第十五条 公开招标的项目 ， 应当依照招标投标法和本条例的规定发布招标公告、编制招标文件。</w:t>
            </w:r>
          </w:p>
          <w:p>
            <w:pPr>
              <w:autoSpaceDN w:val="0"/>
              <w:spacing w:line="260" w:lineRule="exact"/>
              <w:rPr>
                <w:rFonts w:ascii="方正仿宋_GBK" w:eastAsia="方正仿宋_GBK" w:cs="方正仿宋_GBK"/>
                <w:szCs w:val="21"/>
              </w:rPr>
            </w:pPr>
            <w:r>
              <w:rPr>
                <w:rFonts w:hint="eastAsia" w:ascii="方正仿宋_GBK" w:eastAsia="方正仿宋_GBK" w:cs="方正仿宋_GBK"/>
                <w:szCs w:val="21"/>
              </w:rPr>
              <w:t>招标人采用资格预审办法对潜在投标人进行资格审查的，应当发布资格预审公告、编制资格预审文件。</w:t>
            </w:r>
          </w:p>
          <w:p>
            <w:pPr>
              <w:autoSpaceDN w:val="0"/>
              <w:spacing w:line="260" w:lineRule="exact"/>
              <w:rPr>
                <w:rFonts w:ascii="方正仿宋_GBK" w:eastAsia="方正仿宋_GBK" w:cs="方正仿宋_GBK"/>
                <w:szCs w:val="21"/>
              </w:rPr>
            </w:pPr>
            <w:r>
              <w:rPr>
                <w:rFonts w:hint="eastAsia" w:ascii="方正仿宋_GBK" w:eastAsia="方正仿宋_GBK" w:cs="方正仿宋_GBK"/>
                <w:szCs w:val="21"/>
              </w:rPr>
              <w:t>依法必须进行招标的项目的资格预审公告和招标公告，应当在国务院发展改革部门依法指定的媒介发布。在不同媒介发布的同一招标项目的资格预审公告或者招标公告的内容应当一致。指定媒介发布依法必须进行招标的项目的境内资格预审公告、招标公告，不得收取费用。</w:t>
            </w:r>
          </w:p>
          <w:p>
            <w:pPr>
              <w:autoSpaceDN w:val="0"/>
              <w:spacing w:line="260" w:lineRule="exact"/>
              <w:rPr>
                <w:rFonts w:ascii="方正仿宋_GBK" w:eastAsia="方正仿宋_GBK" w:cs="方正仿宋_GBK"/>
                <w:szCs w:val="21"/>
              </w:rPr>
            </w:pPr>
            <w:r>
              <w:rPr>
                <w:rFonts w:hint="eastAsia" w:ascii="方正仿宋_GBK" w:eastAsia="方正仿宋_GBK" w:cs="方正仿宋_GBK"/>
                <w:szCs w:val="21"/>
              </w:rPr>
              <w:t>编制依法必须进行招标的项目的资格预审文件和招标文件，应当使用国务院发展改革部门会同有关行政监督部门制定的标准文本。</w:t>
            </w:r>
          </w:p>
          <w:p>
            <w:pPr>
              <w:pStyle w:val="12"/>
              <w:spacing w:line="260" w:lineRule="exact"/>
              <w:jc w:val="both"/>
              <w:rPr>
                <w:color w:val="auto"/>
                <w:sz w:val="21"/>
                <w:szCs w:val="21"/>
              </w:rPr>
            </w:pPr>
          </w:p>
          <w:p>
            <w:pPr>
              <w:pStyle w:val="12"/>
              <w:spacing w:line="260" w:lineRule="exact"/>
              <w:jc w:val="both"/>
              <w:rPr>
                <w:color w:val="auto"/>
                <w:sz w:val="21"/>
                <w:szCs w:val="21"/>
              </w:rPr>
            </w:pPr>
            <w:r>
              <w:rPr>
                <w:rFonts w:hint="eastAsia"/>
                <w:color w:val="auto"/>
                <w:kern w:val="2"/>
                <w:sz w:val="21"/>
                <w:szCs w:val="21"/>
              </w:rPr>
              <w:t>《工程建设项目施工招标投标办法》第三条第二款 任何单位和个人不得将依法必须进行招标的项目化整为零或者以其他任何方式规避招标。</w:t>
            </w:r>
          </w:p>
        </w:tc>
        <w:tc>
          <w:tcPr>
            <w:tcW w:w="3175" w:type="dxa"/>
            <w:vMerge w:val="restart"/>
            <w:tcBorders>
              <w:top w:val="single" w:color="auto" w:sz="4" w:space="0"/>
              <w:left w:val="single" w:color="auto" w:sz="4" w:space="0"/>
              <w:bottom w:val="single" w:color="auto" w:sz="4" w:space="0"/>
              <w:right w:val="single" w:color="auto" w:sz="4" w:space="0"/>
            </w:tcBorders>
            <w:vAlign w:val="center"/>
          </w:tcPr>
          <w:p>
            <w:pPr>
              <w:autoSpaceDN w:val="0"/>
              <w:spacing w:line="240" w:lineRule="exact"/>
              <w:rPr>
                <w:rFonts w:ascii="方正仿宋_GBK" w:eastAsia="方正仿宋_GBK" w:cs="方正仿宋_GBK"/>
                <w:kern w:val="0"/>
                <w:szCs w:val="21"/>
              </w:rPr>
            </w:pPr>
            <w:r>
              <w:rPr>
                <w:rFonts w:hint="eastAsia" w:ascii="方正仿宋_GBK" w:eastAsia="方正仿宋_GBK" w:cs="方正仿宋_GBK"/>
                <w:kern w:val="0"/>
                <w:szCs w:val="21"/>
              </w:rPr>
              <w:t>《中华人民共和国招标投标法》第四十九条 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p>
          <w:p>
            <w:pPr>
              <w:autoSpaceDN w:val="0"/>
              <w:spacing w:line="240" w:lineRule="exact"/>
              <w:rPr>
                <w:rFonts w:ascii="方正仿宋_GBK" w:eastAsia="方正仿宋_GBK" w:cs="方正仿宋_GBK"/>
                <w:kern w:val="0"/>
                <w:szCs w:val="21"/>
              </w:rPr>
            </w:pPr>
          </w:p>
          <w:p>
            <w:pPr>
              <w:autoSpaceDN w:val="0"/>
              <w:spacing w:line="240" w:lineRule="exact"/>
              <w:rPr>
                <w:rFonts w:ascii="方正仿宋_GBK" w:eastAsia="方正仿宋_GBK" w:cs="方正仿宋_GBK"/>
                <w:kern w:val="0"/>
                <w:szCs w:val="21"/>
              </w:rPr>
            </w:pPr>
            <w:r>
              <w:rPr>
                <w:rFonts w:hint="eastAsia" w:ascii="方正仿宋_GBK" w:eastAsia="方正仿宋_GBK" w:cs="方正仿宋_GBK"/>
                <w:kern w:val="0"/>
                <w:szCs w:val="21"/>
              </w:rPr>
              <w:t>《中华人民共和国招标投标法实施条例》第六十三条第二款 依法必须进行招标的项目的招标人不按照规定发布资格预审公告或者招标公告，构成规避招标的，依照招标投标法第四十九条的规定处罚。</w:t>
            </w:r>
          </w:p>
          <w:p>
            <w:pPr>
              <w:autoSpaceDN w:val="0"/>
              <w:spacing w:line="240" w:lineRule="exact"/>
              <w:rPr>
                <w:rFonts w:ascii="方正仿宋_GBK" w:eastAsia="方正仿宋_GBK" w:cs="方正仿宋_GBK"/>
                <w:szCs w:val="21"/>
              </w:rPr>
            </w:pPr>
          </w:p>
          <w:p>
            <w:pPr>
              <w:autoSpaceDN w:val="0"/>
              <w:spacing w:line="240" w:lineRule="exact"/>
              <w:rPr>
                <w:rFonts w:ascii="方正仿宋_GBK" w:eastAsia="方正仿宋_GBK" w:cs="方正仿宋_GBK"/>
                <w:szCs w:val="21"/>
              </w:rPr>
            </w:pPr>
            <w:r>
              <w:rPr>
                <w:rFonts w:hint="eastAsia" w:ascii="方正仿宋_GBK" w:eastAsia="方正仿宋_GBK" w:cs="方正仿宋_GBK"/>
                <w:szCs w:val="21"/>
              </w:rPr>
              <w:t>《河北省实施&lt;中华人民共和国招标投标法&gt;办法》第四十条 违反本办法规定，必须进行招标的项目而不招标的，将必须进行招标的项目化整为零或者以其他方式规避招标的，以及虚假招标、与投标人串通损害国家利益、社会公共利益和其他投标人合法权益的，责令限期改正，可以处项目合同金额千分之五以上千分之十以下的罚款；对全部或者部分使用国有资金的项目，可以暂停项目执行或者暂停 资金拨付；对单位直接负责的主管人员和其他直接责任人员依法给予行政处分；构成犯罪的，依法追究刑事责任。</w:t>
            </w:r>
          </w:p>
          <w:p>
            <w:pPr>
              <w:autoSpaceDN w:val="0"/>
              <w:spacing w:line="240" w:lineRule="exact"/>
              <w:rPr>
                <w:rFonts w:ascii="方正仿宋_GBK" w:eastAsia="方正仿宋_GBK" w:cs="方正仿宋_GBK"/>
                <w:szCs w:val="21"/>
              </w:rPr>
            </w:pPr>
            <w:r>
              <w:rPr>
                <w:rFonts w:hint="eastAsia" w:ascii="方正仿宋_GBK" w:eastAsia="方正仿宋_GBK" w:cs="方正仿宋_GBK"/>
                <w:szCs w:val="21"/>
              </w:rPr>
              <w:t>第四十四条 招标人或者其委托的招标代理机构违反 本办法规定，对依法必须进行招标的项目，应当发布招标公 告而不发布的，或者提供虚假招标公告、证明材料的以及招标公告含有欺诈内容的，责令限期改正，可以处项目合同金 额千分之五以上千分之十以下的罚款。不在指定媒介发布依法必须招标的项目招标公告的，或者招标公告中有关获取招 标文件的时间和办法的规定明显不合理的以及招标公告中 以不合理的条件限制或者排斥潜在投标人的，责令限期改正，可以处一万元以上五万元以下的罚款。</w:t>
            </w:r>
          </w:p>
          <w:p>
            <w:pPr>
              <w:autoSpaceDN w:val="0"/>
              <w:spacing w:line="240" w:lineRule="exact"/>
              <w:rPr>
                <w:rFonts w:ascii="方正仿宋_GBK" w:eastAsia="方正仿宋_GBK" w:cs="方正仿宋_GBK"/>
                <w:szCs w:val="21"/>
              </w:rPr>
            </w:pPr>
          </w:p>
          <w:p>
            <w:pPr>
              <w:autoSpaceDN w:val="0"/>
              <w:spacing w:line="240" w:lineRule="exact"/>
              <w:rPr>
                <w:rFonts w:ascii="方正仿宋_GBK" w:eastAsia="方正仿宋_GBK" w:cs="方正仿宋_GBK"/>
                <w:szCs w:val="21"/>
              </w:rPr>
            </w:pPr>
            <w:r>
              <w:rPr>
                <w:rFonts w:hint="eastAsia" w:ascii="方正仿宋_GBK" w:eastAsia="方正仿宋_GBK" w:cs="方正仿宋_GBK"/>
                <w:szCs w:val="21"/>
              </w:rPr>
              <w:t>《工程建设项目施工招标投标办法》第六十八条 必须进行招标的项目而不招标的，将必须进行招标的项目化整为零或者以其他任何方式规避招标的，有关行政监督部门责令限期改正，可以处项目合同金额千分之五以上千分之十以下的罚款；对全部或者部分使用国有资金的项目，项目审批部门可以暂停项目执行或者暂停资金拨付；对单位直接负责的主管人员和其他直接责任人员依法给予处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12" w:hRule="atLeast"/>
          <w:jc w:val="center"/>
        </w:trPr>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eastAsia="方正仿宋_GBK" w:cs="方正仿宋_GBK"/>
                <w:szCs w:val="21"/>
              </w:rPr>
            </w:pPr>
          </w:p>
        </w:tc>
        <w:tc>
          <w:tcPr>
            <w:tcW w:w="13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eastAsia="方正仿宋_GBK" w:cs="方正仿宋_GBK"/>
                <w:szCs w:val="21"/>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eastAsia="方正仿宋_GBK" w:cs="方正仿宋_GBK"/>
                <w:szCs w:val="21"/>
              </w:rPr>
            </w:pPr>
          </w:p>
        </w:tc>
        <w:tc>
          <w:tcPr>
            <w:tcW w:w="19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方正仿宋_GBK"/>
                <w:kern w:val="0"/>
                <w:szCs w:val="21"/>
              </w:rPr>
            </w:pPr>
          </w:p>
        </w:tc>
        <w:tc>
          <w:tcPr>
            <w:tcW w:w="31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65" w:hRule="atLeast"/>
          <w:jc w:val="center"/>
        </w:trPr>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eastAsia="方正仿宋_GBK" w:cs="方正仿宋_GBK"/>
                <w:szCs w:val="21"/>
              </w:rPr>
            </w:pPr>
          </w:p>
        </w:tc>
        <w:tc>
          <w:tcPr>
            <w:tcW w:w="13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eastAsia="方正仿宋_GBK" w:cs="方正仿宋_GBK"/>
                <w:szCs w:val="21"/>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eastAsia="方正仿宋_GBK" w:cs="方正仿宋_GBK"/>
                <w:szCs w:val="21"/>
              </w:rPr>
            </w:pPr>
          </w:p>
        </w:tc>
        <w:tc>
          <w:tcPr>
            <w:tcW w:w="19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方正仿宋_GBK"/>
                <w:kern w:val="0"/>
                <w:szCs w:val="21"/>
              </w:rPr>
            </w:pPr>
          </w:p>
        </w:tc>
        <w:tc>
          <w:tcPr>
            <w:tcW w:w="31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65" w:hRule="atLeast"/>
          <w:jc w:val="center"/>
        </w:trPr>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eastAsia="方正仿宋_GBK" w:cs="方正仿宋_GBK"/>
                <w:szCs w:val="21"/>
              </w:rPr>
            </w:pPr>
          </w:p>
        </w:tc>
        <w:tc>
          <w:tcPr>
            <w:tcW w:w="13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eastAsia="方正仿宋_GBK" w:cs="方正仿宋_GBK"/>
                <w:szCs w:val="21"/>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eastAsia="方正仿宋_GBK" w:cs="方正仿宋_GBK"/>
                <w:szCs w:val="21"/>
              </w:rPr>
            </w:pPr>
          </w:p>
        </w:tc>
        <w:tc>
          <w:tcPr>
            <w:tcW w:w="19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宋体" w:eastAsia="方正仿宋_GBK" w:cs="方正仿宋_GBK"/>
                <w:kern w:val="0"/>
                <w:szCs w:val="21"/>
              </w:rPr>
            </w:pPr>
          </w:p>
        </w:tc>
        <w:tc>
          <w:tcPr>
            <w:tcW w:w="31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eastAsia="方正仿宋_GBK" w:cs="方正仿宋_GBK"/>
                <w:szCs w:val="21"/>
              </w:rPr>
            </w:pPr>
          </w:p>
        </w:tc>
      </w:tr>
    </w:tbl>
    <w:p>
      <w:pPr>
        <w:pStyle w:val="2"/>
        <w:ind w:left="0" w:leftChars="0" w:firstLine="0" w:firstLineChars="0"/>
        <w:rPr>
          <w:rFonts w:hint="eastAsia"/>
        </w:rPr>
      </w:pPr>
    </w:p>
    <w:p>
      <w:pPr>
        <w:autoSpaceDN w:val="0"/>
        <w:outlineLvl w:val="0"/>
        <w:rPr>
          <w:rStyle w:val="18"/>
          <w:spacing w:val="8"/>
          <w:sz w:val="32"/>
          <w:szCs w:val="32"/>
        </w:rPr>
      </w:pPr>
      <w:r>
        <w:rPr>
          <w:rFonts w:hint="eastAsia" w:ascii="方正黑体_GBK" w:eastAsia="方正黑体_GBK" w:cs="方正黑体_GBK"/>
          <w:sz w:val="32"/>
          <w:szCs w:val="32"/>
        </w:rPr>
        <w:t>《中华人民共和国消防法》</w:t>
      </w:r>
    </w:p>
    <w:tbl>
      <w:tblPr>
        <w:tblStyle w:val="8"/>
        <w:tblW w:w="1491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80"/>
        <w:gridCol w:w="1361"/>
        <w:gridCol w:w="1134"/>
        <w:gridCol w:w="1701"/>
        <w:gridCol w:w="1701"/>
        <w:gridCol w:w="1191"/>
        <w:gridCol w:w="4252"/>
        <w:gridCol w:w="1701"/>
        <w:gridCol w:w="119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80"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序号</w:t>
            </w:r>
          </w:p>
        </w:tc>
        <w:tc>
          <w:tcPr>
            <w:tcW w:w="1361"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基准编号</w:t>
            </w:r>
          </w:p>
        </w:tc>
        <w:tc>
          <w:tcPr>
            <w:tcW w:w="1134"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违法行为</w:t>
            </w:r>
          </w:p>
        </w:tc>
        <w:tc>
          <w:tcPr>
            <w:tcW w:w="1701"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违反条款</w:t>
            </w:r>
          </w:p>
        </w:tc>
        <w:tc>
          <w:tcPr>
            <w:tcW w:w="1701"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处罚依据</w:t>
            </w:r>
          </w:p>
        </w:tc>
        <w:tc>
          <w:tcPr>
            <w:tcW w:w="1191"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裁量幅度</w:t>
            </w:r>
          </w:p>
        </w:tc>
        <w:tc>
          <w:tcPr>
            <w:tcW w:w="4252"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违法情节和后果</w:t>
            </w:r>
          </w:p>
        </w:tc>
        <w:tc>
          <w:tcPr>
            <w:tcW w:w="1701"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处罚裁量基准</w:t>
            </w:r>
          </w:p>
        </w:tc>
        <w:tc>
          <w:tcPr>
            <w:tcW w:w="1191"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其他处理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45" w:hRule="atLeast"/>
          <w:jc w:val="center"/>
        </w:trPr>
        <w:tc>
          <w:tcPr>
            <w:tcW w:w="680" w:type="dxa"/>
            <w:vMerge w:val="restart"/>
            <w:tcBorders>
              <w:top w:val="single" w:color="auto" w:sz="4" w:space="0"/>
              <w:left w:val="single" w:color="auto" w:sz="4" w:space="0"/>
              <w:bottom w:val="single" w:color="auto" w:sz="4" w:space="0"/>
              <w:right w:val="single" w:color="auto" w:sz="4" w:space="0"/>
            </w:tcBorders>
            <w:vAlign w:val="center"/>
          </w:tcPr>
          <w:p>
            <w:pPr>
              <w:widowControl/>
              <w:autoSpaceDN w:val="0"/>
              <w:jc w:val="center"/>
              <w:rPr>
                <w:rFonts w:ascii="方正仿宋简体" w:eastAsia="方正仿宋简体" w:cs="方正仿宋简体"/>
                <w:kern w:val="0"/>
                <w:szCs w:val="21"/>
              </w:rPr>
            </w:pPr>
            <w:r>
              <w:rPr>
                <w:rFonts w:hint="eastAsia" w:ascii="方正仿宋简体" w:eastAsia="方正仿宋_GBK" w:cs="方正仿宋简体"/>
                <w:kern w:val="0"/>
                <w:szCs w:val="21"/>
              </w:rPr>
              <w:t>335</w:t>
            </w:r>
          </w:p>
        </w:tc>
        <w:tc>
          <w:tcPr>
            <w:tcW w:w="1361" w:type="dxa"/>
            <w:vMerge w:val="restart"/>
            <w:tcBorders>
              <w:top w:val="single" w:color="auto" w:sz="4" w:space="0"/>
              <w:left w:val="single" w:color="auto" w:sz="4" w:space="0"/>
              <w:bottom w:val="single" w:color="auto" w:sz="4" w:space="0"/>
              <w:right w:val="single" w:color="auto" w:sz="4" w:space="0"/>
            </w:tcBorders>
            <w:vAlign w:val="center"/>
          </w:tcPr>
          <w:p>
            <w:pPr>
              <w:widowControl/>
              <w:autoSpaceDN w:val="0"/>
              <w:jc w:val="center"/>
              <w:rPr>
                <w:rFonts w:ascii="方正仿宋简体" w:eastAsia="方正仿宋简体" w:cs="方正仿宋简体"/>
                <w:kern w:val="0"/>
                <w:szCs w:val="21"/>
              </w:rPr>
            </w:pPr>
            <w:r>
              <w:rPr>
                <w:rFonts w:hint="eastAsia" w:ascii="方正仿宋简体" w:eastAsia="方正仿宋_GBK" w:cs="方正仿宋简体"/>
                <w:szCs w:val="21"/>
              </w:rPr>
              <w:t>G100105802</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widowControl/>
              <w:autoSpaceDN w:val="0"/>
              <w:rPr>
                <w:rFonts w:ascii="方正仿宋简体" w:eastAsia="方正仿宋简体" w:cs="方正仿宋简体"/>
                <w:kern w:val="0"/>
                <w:szCs w:val="21"/>
              </w:rPr>
            </w:pPr>
            <w:r>
              <w:rPr>
                <w:rFonts w:hint="eastAsia" w:ascii="方正仿宋简体" w:eastAsia="方正仿宋_GBK" w:cs="方正仿宋简体"/>
                <w:kern w:val="0"/>
                <w:szCs w:val="21"/>
              </w:rPr>
              <w:t>依法应当进行消防验收的建设工程，未经消防验收或者消防验收不合格，擅自投入使用的</w:t>
            </w: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widowControl/>
              <w:autoSpaceDN w:val="0"/>
              <w:spacing w:line="240" w:lineRule="exact"/>
              <w:rPr>
                <w:rFonts w:ascii="方正仿宋简体" w:eastAsia="方正仿宋_GBK" w:cs="方正仿宋简体"/>
                <w:kern w:val="0"/>
                <w:sz w:val="18"/>
                <w:szCs w:val="18"/>
              </w:rPr>
            </w:pPr>
            <w:r>
              <w:rPr>
                <w:rFonts w:hint="eastAsia" w:ascii="方正仿宋简体" w:eastAsia="方正仿宋_GBK" w:cs="方正仿宋简体"/>
                <w:kern w:val="0"/>
                <w:sz w:val="18"/>
                <w:szCs w:val="18"/>
              </w:rPr>
              <w:t>《中华人民共和国消防法》十三条 国务院住房和城乡建设主管部门规定应当申请消防验收的建设工程竣工，建设单位应当向住房和城乡建设主管部门申请消防验收。</w:t>
            </w:r>
          </w:p>
          <w:p>
            <w:pPr>
              <w:widowControl/>
              <w:autoSpaceDN w:val="0"/>
              <w:spacing w:line="240" w:lineRule="exact"/>
              <w:rPr>
                <w:rFonts w:ascii="方正仿宋简体" w:eastAsia="方正仿宋_GBK" w:cs="方正仿宋简体"/>
                <w:kern w:val="0"/>
                <w:sz w:val="18"/>
                <w:szCs w:val="18"/>
              </w:rPr>
            </w:pPr>
            <w:r>
              <w:rPr>
                <w:rFonts w:hint="eastAsia" w:ascii="方正仿宋简体" w:eastAsia="方正仿宋_GBK" w:cs="方正仿宋简体"/>
                <w:kern w:val="0"/>
                <w:sz w:val="18"/>
                <w:szCs w:val="18"/>
              </w:rPr>
              <w:t>前款规定以外的其他建设工程，建设单位在验收后应当报住房和城乡建设主管部门备案，住房和城乡建设主管部门应当进行抽查。</w:t>
            </w:r>
          </w:p>
          <w:p>
            <w:pPr>
              <w:widowControl/>
              <w:autoSpaceDN w:val="0"/>
              <w:spacing w:line="240" w:lineRule="exact"/>
              <w:rPr>
                <w:rFonts w:ascii="方正仿宋简体" w:eastAsia="方正仿宋_GBK" w:cs="方正仿宋简体"/>
                <w:kern w:val="0"/>
                <w:sz w:val="18"/>
                <w:szCs w:val="18"/>
              </w:rPr>
            </w:pPr>
            <w:r>
              <w:rPr>
                <w:rFonts w:hint="eastAsia" w:ascii="方正仿宋简体" w:eastAsia="方正仿宋_GBK" w:cs="方正仿宋简体"/>
                <w:kern w:val="0"/>
                <w:sz w:val="18"/>
                <w:szCs w:val="18"/>
              </w:rPr>
              <w:t>依法应当进行消防验收的建设工程，未经消防验收或者消防验收不合格的，禁止投入使用；其他建设工程经依法抽查不合格的，应当停止使用。</w:t>
            </w: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widowControl/>
              <w:autoSpaceDN w:val="0"/>
              <w:rPr>
                <w:rFonts w:ascii="方正仿宋简体" w:eastAsia="方正仿宋_GBK" w:cs="方正仿宋简体"/>
                <w:kern w:val="0"/>
                <w:szCs w:val="21"/>
              </w:rPr>
            </w:pPr>
            <w:r>
              <w:rPr>
                <w:rFonts w:hint="eastAsia" w:ascii="方正仿宋简体" w:eastAsia="方正仿宋_GBK" w:cs="方正仿宋简体"/>
                <w:kern w:val="0"/>
                <w:szCs w:val="21"/>
              </w:rPr>
              <w:t>《中华人民共和国消防法》第五十八条第一款 违反本法规定，有下列行为之一的，由住房和城乡建设主管部门、消防救援机构按照各自职权责令停止施工、停止使用或者停产停业，并处三万元以上三十万元以下罚款：</w:t>
            </w:r>
          </w:p>
          <w:p>
            <w:pPr>
              <w:widowControl/>
              <w:autoSpaceDN w:val="0"/>
              <w:rPr>
                <w:rFonts w:ascii="方正仿宋简体" w:eastAsia="方正仿宋简体" w:cs="方正仿宋简体"/>
                <w:kern w:val="0"/>
                <w:szCs w:val="21"/>
              </w:rPr>
            </w:pPr>
            <w:r>
              <w:rPr>
                <w:rFonts w:hint="eastAsia" w:ascii="方正仿宋简体" w:eastAsia="方正仿宋_GBK" w:cs="方正仿宋简体"/>
                <w:kern w:val="0"/>
                <w:szCs w:val="21"/>
              </w:rPr>
              <w:t>（二）依法应当进行消防验收的建设工程，未经消防验收或者消防验收不合格，擅自投入使用的；</w:t>
            </w:r>
          </w:p>
        </w:tc>
        <w:tc>
          <w:tcPr>
            <w:tcW w:w="1191" w:type="dxa"/>
            <w:tcBorders>
              <w:top w:val="single" w:color="auto" w:sz="4" w:space="0"/>
              <w:left w:val="single" w:color="auto" w:sz="4" w:space="0"/>
              <w:bottom w:val="single" w:color="auto" w:sz="4" w:space="0"/>
              <w:right w:val="single" w:color="auto" w:sz="4" w:space="0"/>
            </w:tcBorders>
            <w:vAlign w:val="center"/>
          </w:tcPr>
          <w:p>
            <w:pPr>
              <w:widowControl/>
              <w:autoSpaceDN w:val="0"/>
              <w:jc w:val="center"/>
              <w:rPr>
                <w:rFonts w:ascii="方正仿宋简体" w:eastAsia="方正仿宋简体" w:cs="方正仿宋简体"/>
                <w:kern w:val="0"/>
                <w:szCs w:val="21"/>
              </w:rPr>
            </w:pPr>
            <w:r>
              <w:rPr>
                <w:rFonts w:hint="eastAsia" w:ascii="方正仿宋简体" w:eastAsia="方正仿宋_GBK" w:cs="方正仿宋简体"/>
                <w:szCs w:val="21"/>
              </w:rPr>
              <w:t>较轻</w:t>
            </w:r>
          </w:p>
        </w:tc>
        <w:tc>
          <w:tcPr>
            <w:tcW w:w="4252" w:type="dxa"/>
            <w:tcBorders>
              <w:top w:val="single" w:color="auto" w:sz="4" w:space="0"/>
              <w:left w:val="single" w:color="auto" w:sz="4" w:space="0"/>
              <w:bottom w:val="single" w:color="auto" w:sz="4" w:space="0"/>
              <w:right w:val="single" w:color="auto" w:sz="4" w:space="0"/>
            </w:tcBorders>
            <w:vAlign w:val="center"/>
          </w:tcPr>
          <w:p>
            <w:pPr>
              <w:widowControl/>
              <w:autoSpaceDN w:val="0"/>
              <w:spacing w:line="240" w:lineRule="exact"/>
              <w:rPr>
                <w:rFonts w:ascii="方正仿宋简体" w:eastAsia="方正仿宋_GBK" w:cs="方正仿宋简体"/>
                <w:kern w:val="0"/>
                <w:sz w:val="18"/>
                <w:szCs w:val="18"/>
              </w:rPr>
            </w:pPr>
            <w:r>
              <w:rPr>
                <w:rFonts w:hint="eastAsia" w:ascii="方正仿宋简体" w:eastAsia="方正仿宋_GBK" w:cs="方正仿宋简体"/>
                <w:kern w:val="0"/>
                <w:sz w:val="18"/>
                <w:szCs w:val="18"/>
              </w:rPr>
              <w:t>（一）建筑总面积一万平方米以上、不足三万平方米的宾馆、饭店、商场、市场；</w:t>
            </w:r>
          </w:p>
          <w:p>
            <w:pPr>
              <w:widowControl/>
              <w:autoSpaceDN w:val="0"/>
              <w:spacing w:line="240" w:lineRule="exact"/>
              <w:rPr>
                <w:rFonts w:ascii="方正仿宋简体" w:eastAsia="方正仿宋_GBK" w:cs="方正仿宋简体"/>
                <w:kern w:val="0"/>
                <w:sz w:val="18"/>
                <w:szCs w:val="18"/>
              </w:rPr>
            </w:pPr>
            <w:r>
              <w:rPr>
                <w:rFonts w:hint="eastAsia" w:ascii="方正仿宋简体" w:eastAsia="方正仿宋_GBK" w:cs="方正仿宋简体"/>
                <w:kern w:val="0"/>
                <w:sz w:val="18"/>
                <w:szCs w:val="18"/>
              </w:rPr>
              <w:t>（二）建筑总面积二千五百平方米以上、不足五千平方米的影剧院，公共图书馆的阅览室，营业性室内健身、休闲场馆，医院的门诊楼，大学的教学楼、图书馆、食堂，劳动密集型企业的生产加工车间，寺庙、教堂；</w:t>
            </w:r>
          </w:p>
          <w:p>
            <w:pPr>
              <w:widowControl/>
              <w:autoSpaceDN w:val="0"/>
              <w:spacing w:line="240" w:lineRule="exact"/>
              <w:rPr>
                <w:rFonts w:ascii="方正仿宋简体" w:eastAsia="方正仿宋_GBK" w:cs="方正仿宋简体"/>
                <w:kern w:val="0"/>
                <w:sz w:val="18"/>
                <w:szCs w:val="18"/>
              </w:rPr>
            </w:pPr>
            <w:r>
              <w:rPr>
                <w:rFonts w:hint="eastAsia" w:ascii="方正仿宋简体" w:eastAsia="方正仿宋_GBK" w:cs="方正仿宋简体"/>
                <w:kern w:val="0"/>
                <w:sz w:val="18"/>
                <w:szCs w:val="18"/>
              </w:rPr>
              <w:t>（三）建筑总面积一千平方米以上、不足五千平方米的托儿所、幼儿园的儿童用房，儿童游乐厅等室内儿童活动场所，养老院、福利院，医院、疗养院的病房楼，中小学校的教学楼、图书馆、食堂，学校的集体宿舍，劳动密集型企业的员工集体宿舍；</w:t>
            </w:r>
          </w:p>
          <w:p>
            <w:pPr>
              <w:widowControl/>
              <w:autoSpaceDN w:val="0"/>
              <w:spacing w:line="240" w:lineRule="exact"/>
              <w:rPr>
                <w:rFonts w:ascii="方正仿宋简体" w:eastAsia="方正仿宋_GBK" w:cs="方正仿宋简体"/>
                <w:kern w:val="0"/>
                <w:sz w:val="18"/>
                <w:szCs w:val="18"/>
              </w:rPr>
            </w:pPr>
            <w:r>
              <w:rPr>
                <w:rFonts w:hint="eastAsia" w:ascii="方正仿宋简体" w:eastAsia="方正仿宋_GBK" w:cs="方正仿宋简体"/>
                <w:kern w:val="0"/>
                <w:sz w:val="18"/>
                <w:szCs w:val="18"/>
              </w:rPr>
              <w:t>（四）建筑总面积五百平方米以上、不足二千平方米的歌舞厅、录像厅、放映厅、卡拉ＯＫ厅、夜总会、游艺厅、桑拿浴室、网吧、酒吧，具有娱乐功能的餐馆、茶馆、咖啡厅；</w:t>
            </w:r>
          </w:p>
          <w:p>
            <w:pPr>
              <w:widowControl/>
              <w:autoSpaceDN w:val="0"/>
              <w:spacing w:line="240" w:lineRule="exact"/>
              <w:rPr>
                <w:rFonts w:ascii="方正仿宋简体" w:eastAsia="方正仿宋_GBK" w:cs="方正仿宋简体"/>
                <w:kern w:val="0"/>
                <w:sz w:val="18"/>
                <w:szCs w:val="18"/>
              </w:rPr>
            </w:pPr>
            <w:r>
              <w:rPr>
                <w:rFonts w:hint="eastAsia" w:ascii="方正仿宋简体" w:eastAsia="方正仿宋_GBK" w:cs="方正仿宋简体"/>
                <w:kern w:val="0"/>
                <w:sz w:val="18"/>
                <w:szCs w:val="18"/>
              </w:rPr>
              <w:t>（五）建筑总面积不足一万平方米的国家机关办公楼、电力调度楼、电信楼、邮政楼、防灾指挥调度楼、广播电视楼、档案楼；</w:t>
            </w:r>
          </w:p>
          <w:p>
            <w:pPr>
              <w:widowControl/>
              <w:autoSpaceDN w:val="0"/>
              <w:spacing w:line="240" w:lineRule="exact"/>
              <w:rPr>
                <w:rFonts w:ascii="方正仿宋简体" w:eastAsia="方正仿宋_GBK" w:cs="方正仿宋简体"/>
                <w:kern w:val="0"/>
                <w:sz w:val="18"/>
                <w:szCs w:val="18"/>
              </w:rPr>
            </w:pPr>
            <w:r>
              <w:rPr>
                <w:rFonts w:hint="eastAsia" w:ascii="方正仿宋简体" w:eastAsia="方正仿宋_GBK" w:cs="方正仿宋简体"/>
                <w:kern w:val="0"/>
                <w:sz w:val="18"/>
                <w:szCs w:val="18"/>
              </w:rPr>
              <w:t>（六）国家标准规定的一类高层住宅建筑且建筑高度不足一百米；</w:t>
            </w:r>
          </w:p>
          <w:p>
            <w:pPr>
              <w:widowControl/>
              <w:autoSpaceDN w:val="0"/>
              <w:spacing w:line="240" w:lineRule="exact"/>
              <w:rPr>
                <w:rFonts w:ascii="方正仿宋简体" w:eastAsia="方正仿宋_GBK" w:cs="方正仿宋简体"/>
                <w:kern w:val="0"/>
                <w:sz w:val="18"/>
                <w:szCs w:val="18"/>
              </w:rPr>
            </w:pPr>
            <w:r>
              <w:rPr>
                <w:rFonts w:hint="eastAsia" w:ascii="方正仿宋简体" w:eastAsia="方正仿宋_GBK" w:cs="方正仿宋简体"/>
                <w:kern w:val="0"/>
                <w:sz w:val="18"/>
                <w:szCs w:val="18"/>
              </w:rPr>
              <w:t>（七）生产、储存易燃易爆危险物品，液体、气体总储量不足一千立方米，固体总储量不足五千千克的工厂、仓库；</w:t>
            </w:r>
          </w:p>
          <w:p>
            <w:pPr>
              <w:widowControl/>
              <w:autoSpaceDN w:val="0"/>
              <w:spacing w:line="240" w:lineRule="exact"/>
              <w:rPr>
                <w:rFonts w:ascii="方正仿宋简体" w:eastAsia="方正仿宋简体" w:cs="方正仿宋简体"/>
                <w:kern w:val="0"/>
                <w:szCs w:val="21"/>
              </w:rPr>
            </w:pPr>
            <w:r>
              <w:rPr>
                <w:rFonts w:hint="eastAsia" w:ascii="方正仿宋简体" w:eastAsia="方正仿宋_GBK" w:cs="方正仿宋简体"/>
                <w:kern w:val="0"/>
                <w:sz w:val="18"/>
                <w:szCs w:val="18"/>
              </w:rPr>
              <w:t>（八）加油站、加油加气站，装卸易燃易爆危险物品专用车站、码头，易燃易爆气体和液体的调压站。</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autoSpaceDN w:val="0"/>
              <w:rPr>
                <w:rFonts w:ascii="方正仿宋简体" w:eastAsia="方正仿宋简体" w:cs="方正仿宋简体"/>
                <w:kern w:val="0"/>
                <w:szCs w:val="21"/>
              </w:rPr>
            </w:pPr>
            <w:r>
              <w:rPr>
                <w:rFonts w:hint="eastAsia" w:ascii="方正仿宋简体" w:eastAsia="方正仿宋_GBK" w:cs="方正仿宋简体"/>
                <w:kern w:val="0"/>
                <w:szCs w:val="21"/>
              </w:rPr>
              <w:t>处三万元以上十万元以下罚款</w:t>
            </w:r>
          </w:p>
        </w:tc>
        <w:tc>
          <w:tcPr>
            <w:tcW w:w="1191" w:type="dxa"/>
            <w:vMerge w:val="restart"/>
            <w:tcBorders>
              <w:top w:val="single" w:color="auto" w:sz="4" w:space="0"/>
              <w:left w:val="single" w:color="auto" w:sz="4" w:space="0"/>
              <w:bottom w:val="single" w:color="auto" w:sz="4" w:space="0"/>
              <w:right w:val="single" w:color="auto" w:sz="4" w:space="0"/>
            </w:tcBorders>
            <w:vAlign w:val="center"/>
          </w:tcPr>
          <w:p>
            <w:pPr>
              <w:widowControl/>
              <w:autoSpaceDN w:val="0"/>
              <w:rPr>
                <w:rFonts w:ascii="方正仿宋简体" w:eastAsia="方正仿宋简体" w:cs="方正仿宋简体"/>
                <w:kern w:val="0"/>
                <w:szCs w:val="21"/>
              </w:rPr>
            </w:pPr>
            <w:r>
              <w:rPr>
                <w:rFonts w:hint="eastAsia" w:ascii="方正仿宋简体" w:eastAsia="方正仿宋_GBK" w:cs="方正仿宋简体"/>
                <w:kern w:val="0"/>
                <w:szCs w:val="21"/>
              </w:rPr>
              <w:t>住房和城乡建设主管部门、消防救援机构按照各自职权责令停止使用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17" w:hRule="atLeast"/>
          <w:jc w:val="center"/>
        </w:trPr>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3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191" w:type="dxa"/>
            <w:tcBorders>
              <w:top w:val="single" w:color="auto" w:sz="4" w:space="0"/>
              <w:left w:val="single" w:color="auto" w:sz="4" w:space="0"/>
              <w:bottom w:val="single" w:color="auto" w:sz="4" w:space="0"/>
              <w:right w:val="single" w:color="auto" w:sz="4" w:space="0"/>
            </w:tcBorders>
            <w:vAlign w:val="center"/>
          </w:tcPr>
          <w:p>
            <w:pPr>
              <w:autoSpaceDN w:val="0"/>
              <w:spacing w:line="271" w:lineRule="auto"/>
              <w:jc w:val="center"/>
              <w:rPr>
                <w:rFonts w:ascii="方正仿宋简体" w:eastAsia="方正仿宋简体" w:cs="方正仿宋简体"/>
                <w:kern w:val="0"/>
                <w:szCs w:val="21"/>
              </w:rPr>
            </w:pPr>
            <w:r>
              <w:rPr>
                <w:rFonts w:hint="eastAsia" w:ascii="方正仿宋简体" w:eastAsia="方正仿宋_GBK" w:cs="方正仿宋简体"/>
                <w:szCs w:val="21"/>
              </w:rPr>
              <w:t>较重</w:t>
            </w:r>
          </w:p>
        </w:tc>
        <w:tc>
          <w:tcPr>
            <w:tcW w:w="4252" w:type="dxa"/>
            <w:tcBorders>
              <w:top w:val="single" w:color="auto" w:sz="4" w:space="0"/>
              <w:left w:val="single" w:color="auto" w:sz="4" w:space="0"/>
              <w:bottom w:val="single" w:color="auto" w:sz="4" w:space="0"/>
              <w:right w:val="single" w:color="auto" w:sz="4" w:space="0"/>
            </w:tcBorders>
            <w:vAlign w:val="center"/>
          </w:tcPr>
          <w:p>
            <w:pPr>
              <w:widowControl/>
              <w:autoSpaceDN w:val="0"/>
              <w:spacing w:line="240" w:lineRule="exact"/>
              <w:rPr>
                <w:rFonts w:ascii="方正仿宋简体" w:eastAsia="方正仿宋_GBK" w:cs="方正仿宋简体"/>
                <w:kern w:val="0"/>
                <w:sz w:val="18"/>
                <w:szCs w:val="18"/>
              </w:rPr>
            </w:pPr>
            <w:r>
              <w:rPr>
                <w:rFonts w:hint="eastAsia" w:ascii="方正仿宋简体" w:eastAsia="方正仿宋_GBK" w:cs="方正仿宋简体"/>
                <w:kern w:val="0"/>
                <w:sz w:val="18"/>
                <w:szCs w:val="18"/>
              </w:rPr>
              <w:t>（一）建筑总面积三万平方米以上、不足五万平方米的宾馆、饭店、商场、市场；</w:t>
            </w:r>
          </w:p>
          <w:p>
            <w:pPr>
              <w:widowControl/>
              <w:autoSpaceDN w:val="0"/>
              <w:spacing w:line="240" w:lineRule="exact"/>
              <w:rPr>
                <w:rFonts w:ascii="方正仿宋简体" w:eastAsia="方正仿宋_GBK" w:cs="方正仿宋简体"/>
                <w:kern w:val="0"/>
                <w:sz w:val="18"/>
                <w:szCs w:val="18"/>
              </w:rPr>
            </w:pPr>
            <w:r>
              <w:rPr>
                <w:rFonts w:hint="eastAsia" w:ascii="方正仿宋简体" w:eastAsia="方正仿宋_GBK" w:cs="方正仿宋简体"/>
                <w:kern w:val="0"/>
                <w:sz w:val="18"/>
                <w:szCs w:val="18"/>
              </w:rPr>
              <w:t>（二）建筑总面积五千平方米以上、不足一万平方米的影剧院，公共图书馆的阅览室，营业性室内健身、休闲场馆，医院的门诊楼，大学的教学楼、图书馆、食堂，劳动密集型企业的生产加工车间，寺庙、教堂；</w:t>
            </w:r>
          </w:p>
          <w:p>
            <w:pPr>
              <w:widowControl/>
              <w:autoSpaceDN w:val="0"/>
              <w:spacing w:line="240" w:lineRule="exact"/>
              <w:rPr>
                <w:rFonts w:ascii="方正仿宋简体" w:eastAsia="方正仿宋_GBK" w:cs="方正仿宋简体"/>
                <w:kern w:val="0"/>
                <w:sz w:val="18"/>
                <w:szCs w:val="18"/>
              </w:rPr>
            </w:pPr>
            <w:r>
              <w:rPr>
                <w:rFonts w:hint="eastAsia" w:ascii="方正仿宋简体" w:eastAsia="方正仿宋_GBK" w:cs="方正仿宋简体"/>
                <w:kern w:val="0"/>
                <w:sz w:val="18"/>
                <w:szCs w:val="18"/>
              </w:rPr>
              <w:t>（三）建筑总面积五千平方米以上的托儿所、幼儿园的儿童用房，儿童游乐厅等室内儿童活动场所，养老院、福利院，医院、疗养院的病房楼，中小学校的教学楼、图书馆、食堂，学校的集体宿舍，劳动密集型企业的员工集体宿舍；</w:t>
            </w:r>
          </w:p>
          <w:p>
            <w:pPr>
              <w:widowControl/>
              <w:autoSpaceDN w:val="0"/>
              <w:spacing w:line="240" w:lineRule="exact"/>
              <w:rPr>
                <w:rFonts w:ascii="方正仿宋简体" w:eastAsia="方正仿宋_GBK" w:cs="方正仿宋简体"/>
                <w:kern w:val="0"/>
                <w:sz w:val="18"/>
                <w:szCs w:val="18"/>
              </w:rPr>
            </w:pPr>
            <w:r>
              <w:rPr>
                <w:rFonts w:hint="eastAsia" w:ascii="方正仿宋简体" w:eastAsia="方正仿宋_GBK" w:cs="方正仿宋简体"/>
                <w:kern w:val="0"/>
                <w:sz w:val="18"/>
                <w:szCs w:val="18"/>
              </w:rPr>
              <w:t>（四）建筑总面积二千平方米以上、不足五千平方米的歌舞厅、录像厅、放映厅、卡拉ＯＫ厅、夜总会、游艺厅、桑拿浴室、网吧、酒吧，具有娱乐功能的餐馆、茶馆、咖啡厅；</w:t>
            </w:r>
          </w:p>
          <w:p>
            <w:pPr>
              <w:widowControl/>
              <w:autoSpaceDN w:val="0"/>
              <w:spacing w:line="240" w:lineRule="exact"/>
              <w:rPr>
                <w:rFonts w:ascii="方正仿宋简体" w:eastAsia="方正仿宋_GBK" w:cs="方正仿宋简体"/>
                <w:kern w:val="0"/>
                <w:sz w:val="18"/>
                <w:szCs w:val="18"/>
              </w:rPr>
            </w:pPr>
            <w:r>
              <w:rPr>
                <w:rFonts w:hint="eastAsia" w:ascii="方正仿宋简体" w:eastAsia="方正仿宋_GBK" w:cs="方正仿宋简体"/>
                <w:kern w:val="0"/>
                <w:sz w:val="18"/>
                <w:szCs w:val="18"/>
              </w:rPr>
              <w:t>（五）建筑总面积一万平方米以上、不足三万平方米的国家机关办公楼、电力调度楼、电信楼、邮政楼、防灾指挥调度楼、广播电视楼、档案楼；</w:t>
            </w:r>
          </w:p>
          <w:p>
            <w:pPr>
              <w:widowControl/>
              <w:autoSpaceDN w:val="0"/>
              <w:spacing w:line="240" w:lineRule="exact"/>
              <w:rPr>
                <w:rFonts w:ascii="方正仿宋简体" w:eastAsia="方正仿宋_GBK" w:cs="方正仿宋简体"/>
                <w:kern w:val="0"/>
                <w:sz w:val="18"/>
                <w:szCs w:val="18"/>
              </w:rPr>
            </w:pPr>
            <w:r>
              <w:rPr>
                <w:rFonts w:hint="eastAsia" w:ascii="方正仿宋简体" w:eastAsia="方正仿宋_GBK" w:cs="方正仿宋简体"/>
                <w:kern w:val="0"/>
                <w:sz w:val="18"/>
                <w:szCs w:val="18"/>
              </w:rPr>
              <w:t>（六）单体建筑面积四万平方米以上、不足十万平方米或者建筑高度五十米以上不足一百米的公共建筑；</w:t>
            </w:r>
          </w:p>
          <w:p>
            <w:pPr>
              <w:widowControl/>
              <w:autoSpaceDN w:val="0"/>
              <w:spacing w:line="240" w:lineRule="exact"/>
              <w:rPr>
                <w:rFonts w:ascii="方正仿宋简体" w:eastAsia="方正仿宋_GBK" w:cs="方正仿宋简体"/>
                <w:kern w:val="0"/>
                <w:sz w:val="18"/>
                <w:szCs w:val="18"/>
              </w:rPr>
            </w:pPr>
            <w:r>
              <w:rPr>
                <w:rFonts w:hint="eastAsia" w:ascii="方正仿宋简体" w:eastAsia="方正仿宋_GBK" w:cs="方正仿宋简体"/>
                <w:kern w:val="0"/>
                <w:sz w:val="18"/>
                <w:szCs w:val="18"/>
              </w:rPr>
              <w:t>（七）国家标准规定的一类高层住宅建筑且建筑高度一百米以上；</w:t>
            </w:r>
          </w:p>
          <w:p>
            <w:pPr>
              <w:widowControl/>
              <w:autoSpaceDN w:val="0"/>
              <w:spacing w:line="240" w:lineRule="exact"/>
              <w:rPr>
                <w:rFonts w:ascii="方正仿宋简体" w:eastAsia="方正仿宋简体" w:cs="方正仿宋简体"/>
                <w:kern w:val="0"/>
                <w:szCs w:val="21"/>
              </w:rPr>
            </w:pPr>
            <w:r>
              <w:rPr>
                <w:rFonts w:hint="eastAsia" w:ascii="方正仿宋简体" w:eastAsia="方正仿宋_GBK" w:cs="方正仿宋简体"/>
                <w:kern w:val="0"/>
                <w:sz w:val="18"/>
                <w:szCs w:val="18"/>
              </w:rPr>
              <w:t>（八）生产、储存易燃易爆危险物品，液体、气体总储量一千立方米以上、不足三千立方米，固体总储量五千千克以上、不足十千千克的工厂、仓库，以及除加油加气站以外的易燃易爆气体和液体的充装站、供应站。</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autoSpaceDN w:val="0"/>
              <w:rPr>
                <w:rFonts w:ascii="方正仿宋简体" w:eastAsia="方正仿宋简体" w:cs="方正仿宋简体"/>
                <w:kern w:val="0"/>
                <w:szCs w:val="21"/>
              </w:rPr>
            </w:pPr>
            <w:r>
              <w:rPr>
                <w:rFonts w:hint="eastAsia" w:ascii="方正仿宋简体" w:eastAsia="方正仿宋_GBK" w:cs="方正仿宋简体"/>
                <w:kern w:val="0"/>
                <w:szCs w:val="21"/>
              </w:rPr>
              <w:t>处十万元以上二十万元以下罚款</w:t>
            </w:r>
          </w:p>
        </w:tc>
        <w:tc>
          <w:tcPr>
            <w:tcW w:w="11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24" w:hRule="atLeast"/>
          <w:jc w:val="center"/>
        </w:trPr>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3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191" w:type="dxa"/>
            <w:tcBorders>
              <w:top w:val="single" w:color="auto" w:sz="4" w:space="0"/>
              <w:left w:val="single" w:color="auto" w:sz="4" w:space="0"/>
              <w:bottom w:val="single" w:color="auto" w:sz="4" w:space="0"/>
              <w:right w:val="single" w:color="auto" w:sz="4" w:space="0"/>
            </w:tcBorders>
            <w:vAlign w:val="center"/>
          </w:tcPr>
          <w:p>
            <w:pPr>
              <w:autoSpaceDN w:val="0"/>
              <w:spacing w:line="271" w:lineRule="auto"/>
              <w:jc w:val="center"/>
              <w:rPr>
                <w:rFonts w:ascii="方正仿宋简体" w:eastAsia="方正仿宋简体" w:cs="方正仿宋简体"/>
                <w:kern w:val="0"/>
                <w:szCs w:val="21"/>
              </w:rPr>
            </w:pPr>
            <w:r>
              <w:rPr>
                <w:rFonts w:hint="eastAsia" w:ascii="方正仿宋简体" w:eastAsia="方正仿宋简体" w:cs="方正仿宋简体"/>
                <w:szCs w:val="21"/>
              </w:rPr>
              <w:t>严重</w:t>
            </w:r>
          </w:p>
        </w:tc>
        <w:tc>
          <w:tcPr>
            <w:tcW w:w="4252" w:type="dxa"/>
            <w:tcBorders>
              <w:top w:val="single" w:color="auto" w:sz="4" w:space="0"/>
              <w:left w:val="single" w:color="auto" w:sz="4" w:space="0"/>
              <w:bottom w:val="single" w:color="auto" w:sz="4" w:space="0"/>
              <w:right w:val="single" w:color="auto" w:sz="4" w:space="0"/>
            </w:tcBorders>
            <w:vAlign w:val="center"/>
          </w:tcPr>
          <w:p>
            <w:pPr>
              <w:widowControl/>
              <w:autoSpaceDN w:val="0"/>
              <w:spacing w:line="240" w:lineRule="exact"/>
              <w:rPr>
                <w:rFonts w:ascii="方正仿宋简体" w:eastAsia="方正仿宋_GBK" w:cs="方正仿宋简体"/>
                <w:kern w:val="0"/>
                <w:sz w:val="18"/>
                <w:szCs w:val="18"/>
              </w:rPr>
            </w:pPr>
            <w:r>
              <w:rPr>
                <w:rFonts w:hint="eastAsia" w:ascii="方正仿宋简体" w:eastAsia="方正仿宋_GBK" w:cs="方正仿宋简体"/>
                <w:kern w:val="0"/>
                <w:sz w:val="18"/>
                <w:szCs w:val="18"/>
              </w:rPr>
              <w:t>(一)建筑总面积二万平方米以上的体育场馆、会堂，公共展览馆、博物馆的展示厅；</w:t>
            </w:r>
          </w:p>
          <w:p>
            <w:pPr>
              <w:widowControl/>
              <w:autoSpaceDN w:val="0"/>
              <w:spacing w:line="240" w:lineRule="exact"/>
              <w:rPr>
                <w:rFonts w:ascii="方正仿宋简体" w:eastAsia="方正仿宋_GBK" w:cs="方正仿宋简体"/>
                <w:kern w:val="0"/>
                <w:sz w:val="18"/>
                <w:szCs w:val="18"/>
              </w:rPr>
            </w:pPr>
            <w:r>
              <w:rPr>
                <w:rFonts w:hint="eastAsia" w:ascii="方正仿宋简体" w:eastAsia="方正仿宋_GBK" w:cs="方正仿宋简体"/>
                <w:kern w:val="0"/>
                <w:sz w:val="18"/>
                <w:szCs w:val="18"/>
              </w:rPr>
              <w:t>(二)建筑总面积一万五千平方米以上的民用机场航站楼、客运车站候车室、客运码头候船厅；</w:t>
            </w:r>
          </w:p>
          <w:p>
            <w:pPr>
              <w:widowControl/>
              <w:autoSpaceDN w:val="0"/>
              <w:spacing w:line="240" w:lineRule="exact"/>
              <w:rPr>
                <w:rFonts w:ascii="方正仿宋简体" w:eastAsia="方正仿宋_GBK" w:cs="方正仿宋简体"/>
                <w:kern w:val="0"/>
                <w:sz w:val="18"/>
                <w:szCs w:val="18"/>
              </w:rPr>
            </w:pPr>
            <w:r>
              <w:rPr>
                <w:rFonts w:hint="eastAsia" w:ascii="方正仿宋简体" w:eastAsia="方正仿宋_GBK" w:cs="方正仿宋简体"/>
                <w:kern w:val="0"/>
                <w:sz w:val="18"/>
                <w:szCs w:val="18"/>
              </w:rPr>
              <w:t>（三）建筑总面积五万平方米以上的宾馆、饭店、商场、市场；</w:t>
            </w:r>
          </w:p>
          <w:p>
            <w:pPr>
              <w:widowControl/>
              <w:autoSpaceDN w:val="0"/>
              <w:spacing w:line="240" w:lineRule="exact"/>
              <w:rPr>
                <w:rFonts w:ascii="方正仿宋简体" w:eastAsia="方正仿宋_GBK" w:cs="方正仿宋简体"/>
                <w:kern w:val="0"/>
                <w:sz w:val="18"/>
                <w:szCs w:val="18"/>
              </w:rPr>
            </w:pPr>
            <w:r>
              <w:rPr>
                <w:rFonts w:hint="eastAsia" w:ascii="方正仿宋简体" w:eastAsia="方正仿宋_GBK" w:cs="方正仿宋简体"/>
                <w:kern w:val="0"/>
                <w:sz w:val="18"/>
                <w:szCs w:val="18"/>
              </w:rPr>
              <w:t>（四）建筑总面积一万平方米以上的影剧院，公共图书馆的阅览室，营业性室内健身、休闲场馆，医院的门诊楼，大学的教学楼、图书馆、食堂，劳动密集型企业的生产加工车间，寺庙、教堂；</w:t>
            </w:r>
          </w:p>
          <w:p>
            <w:pPr>
              <w:widowControl/>
              <w:autoSpaceDN w:val="0"/>
              <w:spacing w:line="240" w:lineRule="exact"/>
              <w:rPr>
                <w:rFonts w:ascii="方正仿宋简体" w:eastAsia="方正仿宋_GBK" w:cs="方正仿宋简体"/>
                <w:kern w:val="0"/>
                <w:sz w:val="18"/>
                <w:szCs w:val="18"/>
              </w:rPr>
            </w:pPr>
            <w:r>
              <w:rPr>
                <w:rFonts w:hint="eastAsia" w:ascii="方正仿宋简体" w:eastAsia="方正仿宋_GBK" w:cs="方正仿宋简体"/>
                <w:kern w:val="0"/>
                <w:sz w:val="18"/>
                <w:szCs w:val="18"/>
              </w:rPr>
              <w:t>（五）建筑总面积五千平方米以上的歌舞厅、录像厅、放映厅、卡拉ＯＫ厅、夜总会、游艺厅、桑拿浴室、网吧、酒吧，具有娱乐功能的餐馆、茶馆、咖啡厅；</w:t>
            </w:r>
          </w:p>
          <w:p>
            <w:pPr>
              <w:widowControl/>
              <w:autoSpaceDN w:val="0"/>
              <w:spacing w:line="240" w:lineRule="exact"/>
              <w:rPr>
                <w:rFonts w:ascii="方正仿宋简体" w:eastAsia="方正仿宋_GBK" w:cs="方正仿宋简体"/>
                <w:kern w:val="0"/>
                <w:sz w:val="18"/>
                <w:szCs w:val="18"/>
              </w:rPr>
            </w:pPr>
            <w:r>
              <w:rPr>
                <w:rFonts w:hint="eastAsia" w:ascii="方正仿宋简体" w:eastAsia="方正仿宋_GBK" w:cs="方正仿宋简体"/>
                <w:kern w:val="0"/>
                <w:sz w:val="18"/>
                <w:szCs w:val="18"/>
              </w:rPr>
              <w:t>（七）建筑总面积三万平方米以上的国家机关办公楼、电力调度楼、电信楼、邮政楼、防灾指挥调度楼、广播电视楼、档案楼；</w:t>
            </w:r>
          </w:p>
          <w:p>
            <w:pPr>
              <w:widowControl/>
              <w:autoSpaceDN w:val="0"/>
              <w:spacing w:line="240" w:lineRule="exact"/>
              <w:rPr>
                <w:rFonts w:ascii="方正仿宋简体" w:eastAsia="方正仿宋_GBK" w:cs="方正仿宋简体"/>
                <w:kern w:val="0"/>
                <w:sz w:val="18"/>
                <w:szCs w:val="18"/>
              </w:rPr>
            </w:pPr>
            <w:r>
              <w:rPr>
                <w:rFonts w:hint="eastAsia" w:ascii="方正仿宋简体" w:eastAsia="方正仿宋_GBK" w:cs="方正仿宋简体"/>
                <w:kern w:val="0"/>
                <w:sz w:val="18"/>
                <w:szCs w:val="18"/>
              </w:rPr>
              <w:t>（八）单体建筑面积十万平方米以上或者建筑高度一百米以上的公共建筑；</w:t>
            </w:r>
          </w:p>
          <w:p>
            <w:pPr>
              <w:widowControl/>
              <w:autoSpaceDN w:val="0"/>
              <w:spacing w:line="240" w:lineRule="exact"/>
              <w:rPr>
                <w:rFonts w:ascii="方正仿宋简体" w:eastAsia="方正仿宋_GBK" w:cs="方正仿宋简体"/>
                <w:kern w:val="0"/>
                <w:sz w:val="18"/>
                <w:szCs w:val="18"/>
              </w:rPr>
            </w:pPr>
            <w:r>
              <w:rPr>
                <w:rFonts w:hint="eastAsia" w:ascii="方正仿宋简体" w:eastAsia="方正仿宋_GBK" w:cs="方正仿宋简体"/>
                <w:kern w:val="0"/>
                <w:sz w:val="18"/>
                <w:szCs w:val="18"/>
              </w:rPr>
              <w:t>（九）城市轨道交通、隧道工程，大型发电、变配电工程。</w:t>
            </w:r>
          </w:p>
          <w:p>
            <w:pPr>
              <w:widowControl/>
              <w:autoSpaceDN w:val="0"/>
              <w:spacing w:line="240" w:lineRule="exact"/>
              <w:rPr>
                <w:rFonts w:ascii="方正仿宋简体" w:eastAsia="方正仿宋简体" w:cs="方正仿宋简体"/>
                <w:kern w:val="0"/>
                <w:szCs w:val="21"/>
              </w:rPr>
            </w:pPr>
            <w:r>
              <w:rPr>
                <w:rFonts w:hint="eastAsia" w:ascii="方正仿宋简体" w:eastAsia="方正仿宋_GBK" w:cs="方正仿宋简体"/>
                <w:kern w:val="0"/>
                <w:sz w:val="18"/>
                <w:szCs w:val="18"/>
              </w:rPr>
              <w:t>（十）生产、储存易燃易爆危险物品，液体、气体总储量三千立方米以上，固体总储量十千千克以上的工厂、仓库。</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autoSpaceDN w:val="0"/>
              <w:rPr>
                <w:rFonts w:ascii="方正仿宋简体" w:eastAsia="方正仿宋简体" w:cs="方正仿宋简体"/>
                <w:kern w:val="0"/>
                <w:szCs w:val="21"/>
              </w:rPr>
            </w:pPr>
            <w:r>
              <w:rPr>
                <w:rFonts w:hint="eastAsia" w:ascii="方正仿宋简体" w:eastAsia="方正仿宋_GBK" w:cs="方正仿宋简体"/>
                <w:kern w:val="0"/>
                <w:szCs w:val="21"/>
              </w:rPr>
              <w:t>处二十万元以上三十万元以下罚款</w:t>
            </w:r>
          </w:p>
        </w:tc>
        <w:tc>
          <w:tcPr>
            <w:tcW w:w="11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r>
    </w:tbl>
    <w:p>
      <w:pPr>
        <w:widowControl/>
        <w:jc w:val="left"/>
        <w:rPr>
          <w:rFonts w:ascii="宋体" w:hAnsi="宋体" w:cs="宋体"/>
          <w:kern w:val="0"/>
          <w:sz w:val="24"/>
          <w:szCs w:val="24"/>
        </w:rPr>
        <w:sectPr>
          <w:pgSz w:w="16838" w:h="11906" w:orient="landscape"/>
          <w:pgMar w:top="1134" w:right="1247" w:bottom="1134" w:left="1247" w:header="851" w:footer="851" w:gutter="0"/>
          <w:pgNumType w:fmt="numberInDash"/>
          <w:cols w:space="720" w:num="1"/>
          <w:docGrid w:type="lines" w:linePitch="312" w:charSpace="0"/>
        </w:sectPr>
      </w:pPr>
    </w:p>
    <w:p>
      <w:pPr>
        <w:autoSpaceDN w:val="0"/>
        <w:outlineLvl w:val="0"/>
        <w:rPr>
          <w:rFonts w:ascii="方正黑体_GBK" w:eastAsia="方正黑体_GBK" w:cs="方正黑体_GBK"/>
          <w:sz w:val="32"/>
          <w:szCs w:val="32"/>
        </w:rPr>
      </w:pPr>
      <w:r>
        <w:rPr>
          <w:rFonts w:hint="eastAsia" w:ascii="方正黑体_GBK" w:eastAsia="方正黑体_GBK" w:cs="方正黑体_GBK"/>
          <w:sz w:val="32"/>
          <w:szCs w:val="32"/>
        </w:rPr>
        <w:t>《中华人民共和国消防法》</w:t>
      </w:r>
    </w:p>
    <w:tbl>
      <w:tblPr>
        <w:tblStyle w:val="8"/>
        <w:tblW w:w="150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80"/>
        <w:gridCol w:w="1361"/>
        <w:gridCol w:w="1134"/>
        <w:gridCol w:w="2041"/>
        <w:gridCol w:w="1417"/>
        <w:gridCol w:w="1191"/>
        <w:gridCol w:w="4252"/>
        <w:gridCol w:w="1814"/>
        <w:gridCol w:w="119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80"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序号</w:t>
            </w:r>
          </w:p>
        </w:tc>
        <w:tc>
          <w:tcPr>
            <w:tcW w:w="1361"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基准编号</w:t>
            </w:r>
          </w:p>
        </w:tc>
        <w:tc>
          <w:tcPr>
            <w:tcW w:w="1134"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违法行为</w:t>
            </w:r>
          </w:p>
        </w:tc>
        <w:tc>
          <w:tcPr>
            <w:tcW w:w="2041"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违反条款</w:t>
            </w:r>
          </w:p>
        </w:tc>
        <w:tc>
          <w:tcPr>
            <w:tcW w:w="1417"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处罚依据</w:t>
            </w:r>
          </w:p>
        </w:tc>
        <w:tc>
          <w:tcPr>
            <w:tcW w:w="1191"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裁量幅度</w:t>
            </w:r>
          </w:p>
        </w:tc>
        <w:tc>
          <w:tcPr>
            <w:tcW w:w="4252"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违法情节和后果</w:t>
            </w:r>
          </w:p>
        </w:tc>
        <w:tc>
          <w:tcPr>
            <w:tcW w:w="1814"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处罚裁量基准</w:t>
            </w:r>
          </w:p>
        </w:tc>
        <w:tc>
          <w:tcPr>
            <w:tcW w:w="1191"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其他处理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76" w:hRule="atLeast"/>
          <w:jc w:val="center"/>
        </w:trPr>
        <w:tc>
          <w:tcPr>
            <w:tcW w:w="680" w:type="dxa"/>
            <w:vMerge w:val="restart"/>
            <w:tcBorders>
              <w:top w:val="single" w:color="auto" w:sz="4" w:space="0"/>
              <w:left w:val="single" w:color="auto" w:sz="4" w:space="0"/>
              <w:bottom w:val="single" w:color="auto" w:sz="4" w:space="0"/>
              <w:right w:val="single" w:color="auto" w:sz="4" w:space="0"/>
            </w:tcBorders>
            <w:vAlign w:val="center"/>
          </w:tcPr>
          <w:p>
            <w:pPr>
              <w:widowControl/>
              <w:autoSpaceDN w:val="0"/>
              <w:jc w:val="center"/>
              <w:rPr>
                <w:rFonts w:ascii="方正仿宋简体" w:eastAsia="方正仿宋简体" w:cs="方正仿宋简体"/>
                <w:kern w:val="0"/>
                <w:szCs w:val="21"/>
              </w:rPr>
            </w:pPr>
            <w:r>
              <w:rPr>
                <w:rFonts w:hint="eastAsia" w:ascii="方正仿宋简体" w:eastAsia="方正仿宋_GBK" w:cs="方正仿宋简体"/>
                <w:kern w:val="0"/>
                <w:szCs w:val="21"/>
              </w:rPr>
              <w:t>336</w:t>
            </w:r>
          </w:p>
        </w:tc>
        <w:tc>
          <w:tcPr>
            <w:tcW w:w="1361" w:type="dxa"/>
            <w:vMerge w:val="restart"/>
            <w:tcBorders>
              <w:top w:val="single" w:color="auto" w:sz="4" w:space="0"/>
              <w:left w:val="single" w:color="auto" w:sz="4" w:space="0"/>
              <w:bottom w:val="single" w:color="auto" w:sz="4" w:space="0"/>
              <w:right w:val="single" w:color="auto" w:sz="4" w:space="0"/>
            </w:tcBorders>
            <w:vAlign w:val="center"/>
          </w:tcPr>
          <w:p>
            <w:pPr>
              <w:widowControl/>
              <w:autoSpaceDN w:val="0"/>
              <w:jc w:val="center"/>
              <w:rPr>
                <w:rFonts w:ascii="方正仿宋简体" w:eastAsia="方正仿宋简体" w:cs="方正仿宋简体"/>
                <w:kern w:val="0"/>
                <w:szCs w:val="21"/>
              </w:rPr>
            </w:pPr>
            <w:r>
              <w:rPr>
                <w:rFonts w:hint="eastAsia" w:ascii="方正仿宋简体" w:eastAsia="方正仿宋_GBK" w:cs="方正仿宋简体"/>
                <w:szCs w:val="21"/>
              </w:rPr>
              <w:t>G100105803</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widowControl/>
              <w:autoSpaceDN w:val="0"/>
              <w:rPr>
                <w:rFonts w:ascii="方正仿宋简体" w:eastAsia="方正仿宋简体" w:cs="方正仿宋简体"/>
                <w:kern w:val="0"/>
                <w:szCs w:val="21"/>
              </w:rPr>
            </w:pPr>
            <w:r>
              <w:rPr>
                <w:rFonts w:hint="eastAsia" w:ascii="方正仿宋简体" w:eastAsia="方正仿宋_GBK" w:cs="方正仿宋简体"/>
                <w:kern w:val="0"/>
                <w:szCs w:val="21"/>
              </w:rPr>
              <w:t>其他建设工程验收后经依法抽查不合格，不停止使用的</w:t>
            </w:r>
          </w:p>
        </w:tc>
        <w:tc>
          <w:tcPr>
            <w:tcW w:w="2041" w:type="dxa"/>
            <w:vMerge w:val="restart"/>
            <w:tcBorders>
              <w:top w:val="single" w:color="auto" w:sz="4" w:space="0"/>
              <w:left w:val="single" w:color="auto" w:sz="4" w:space="0"/>
              <w:bottom w:val="single" w:color="auto" w:sz="4" w:space="0"/>
              <w:right w:val="single" w:color="auto" w:sz="4" w:space="0"/>
            </w:tcBorders>
            <w:vAlign w:val="center"/>
          </w:tcPr>
          <w:p>
            <w:pPr>
              <w:widowControl/>
              <w:autoSpaceDN w:val="0"/>
              <w:spacing w:line="240" w:lineRule="exact"/>
              <w:rPr>
                <w:rFonts w:ascii="方正仿宋简体" w:eastAsia="方正仿宋_GBK" w:cs="方正仿宋简体"/>
                <w:kern w:val="0"/>
                <w:sz w:val="18"/>
                <w:szCs w:val="18"/>
              </w:rPr>
            </w:pPr>
            <w:r>
              <w:rPr>
                <w:rFonts w:hint="eastAsia" w:ascii="方正仿宋简体" w:eastAsia="方正仿宋_GBK" w:cs="方正仿宋简体"/>
                <w:kern w:val="0"/>
                <w:sz w:val="18"/>
                <w:szCs w:val="18"/>
              </w:rPr>
              <w:t>《中华人民共和国消防法》第十三条 国务院住房和城乡建设主管部门规定应当申请消防验收的建设工程竣工，建设单位应当向住房和城乡建设主管部门申请消防验收。</w:t>
            </w:r>
          </w:p>
          <w:p>
            <w:pPr>
              <w:widowControl/>
              <w:autoSpaceDN w:val="0"/>
              <w:spacing w:line="240" w:lineRule="exact"/>
              <w:rPr>
                <w:rFonts w:ascii="方正仿宋简体" w:eastAsia="方正仿宋_GBK" w:cs="方正仿宋简体"/>
                <w:kern w:val="0"/>
                <w:sz w:val="18"/>
                <w:szCs w:val="18"/>
              </w:rPr>
            </w:pPr>
            <w:r>
              <w:rPr>
                <w:rFonts w:hint="eastAsia" w:ascii="方正仿宋简体" w:eastAsia="方正仿宋_GBK" w:cs="方正仿宋简体"/>
                <w:kern w:val="0"/>
                <w:sz w:val="18"/>
                <w:szCs w:val="18"/>
              </w:rPr>
              <w:t>前款规定以外的其他建设工程，建设单位在验收后应当报住房和城乡建设主管部门备案，住房和城乡建设主管部门应当进行抽查。</w:t>
            </w:r>
          </w:p>
          <w:p>
            <w:pPr>
              <w:widowControl/>
              <w:autoSpaceDN w:val="0"/>
              <w:spacing w:line="240" w:lineRule="exact"/>
              <w:rPr>
                <w:rFonts w:ascii="方正仿宋简体" w:eastAsia="方正仿宋简体" w:cs="方正仿宋简体"/>
                <w:kern w:val="0"/>
                <w:szCs w:val="21"/>
              </w:rPr>
            </w:pPr>
            <w:r>
              <w:rPr>
                <w:rFonts w:hint="eastAsia" w:ascii="方正仿宋简体" w:eastAsia="方正仿宋_GBK" w:cs="方正仿宋简体"/>
                <w:kern w:val="0"/>
                <w:sz w:val="18"/>
                <w:szCs w:val="18"/>
              </w:rPr>
              <w:t>依法应当进行消防验收的建设工程，未经消防验收或者消防验收不合格的，禁止投入使用；其他建设工程经依法抽查不合格的，应当停止使用。</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widowControl/>
              <w:autoSpaceDN w:val="0"/>
              <w:spacing w:line="240" w:lineRule="exact"/>
              <w:rPr>
                <w:rFonts w:ascii="方正仿宋简体" w:eastAsia="方正仿宋_GBK" w:cs="方正仿宋简体"/>
                <w:kern w:val="0"/>
                <w:sz w:val="18"/>
                <w:szCs w:val="18"/>
              </w:rPr>
            </w:pPr>
            <w:r>
              <w:rPr>
                <w:rFonts w:hint="eastAsia" w:ascii="方正仿宋简体" w:eastAsia="方正仿宋_GBK" w:cs="方正仿宋简体"/>
                <w:kern w:val="0"/>
                <w:sz w:val="18"/>
                <w:szCs w:val="18"/>
              </w:rPr>
              <w:t>《中华人民共和国消防法》第五十八条第一款 违反本法规定，有下列行为之一的，由住房和城乡建设主管部门、消防救援机构按照各自职权责令停止施工、停止使用或者停产停业，并处三万元以上三十万元以下罚款：</w:t>
            </w:r>
          </w:p>
          <w:p>
            <w:pPr>
              <w:widowControl/>
              <w:autoSpaceDN w:val="0"/>
              <w:spacing w:line="240" w:lineRule="exact"/>
              <w:rPr>
                <w:rFonts w:ascii="方正仿宋简体" w:eastAsia="方正仿宋简体" w:cs="方正仿宋简体"/>
                <w:kern w:val="0"/>
                <w:szCs w:val="21"/>
              </w:rPr>
            </w:pPr>
            <w:r>
              <w:rPr>
                <w:rFonts w:hint="eastAsia" w:ascii="方正仿宋简体" w:eastAsia="方正仿宋_GBK" w:cs="方正仿宋简体"/>
                <w:kern w:val="0"/>
                <w:sz w:val="18"/>
                <w:szCs w:val="18"/>
              </w:rPr>
              <w:t>（三）本法第十三条规定的其他建设工程验收后经依法抽查不合格，不停止使用的；</w:t>
            </w:r>
          </w:p>
        </w:tc>
        <w:tc>
          <w:tcPr>
            <w:tcW w:w="1191" w:type="dxa"/>
            <w:tcBorders>
              <w:top w:val="single" w:color="auto" w:sz="4" w:space="0"/>
              <w:left w:val="single" w:color="auto" w:sz="4" w:space="0"/>
              <w:bottom w:val="single" w:color="auto" w:sz="4" w:space="0"/>
              <w:right w:val="single" w:color="auto" w:sz="4" w:space="0"/>
            </w:tcBorders>
            <w:vAlign w:val="center"/>
          </w:tcPr>
          <w:p>
            <w:pPr>
              <w:widowControl/>
              <w:autoSpaceDN w:val="0"/>
              <w:jc w:val="center"/>
              <w:rPr>
                <w:rFonts w:ascii="方正仿宋简体" w:eastAsia="方正仿宋简体" w:cs="方正仿宋简体"/>
                <w:kern w:val="0"/>
                <w:szCs w:val="21"/>
              </w:rPr>
            </w:pPr>
            <w:r>
              <w:rPr>
                <w:rFonts w:hint="eastAsia" w:ascii="方正仿宋简体" w:eastAsia="方正仿宋_GBK" w:cs="方正仿宋简体"/>
                <w:szCs w:val="21"/>
              </w:rPr>
              <w:t>较轻</w:t>
            </w:r>
          </w:p>
        </w:tc>
        <w:tc>
          <w:tcPr>
            <w:tcW w:w="4252" w:type="dxa"/>
            <w:tcBorders>
              <w:top w:val="single" w:color="auto" w:sz="4" w:space="0"/>
              <w:left w:val="single" w:color="auto" w:sz="4" w:space="0"/>
              <w:bottom w:val="single" w:color="auto" w:sz="4" w:space="0"/>
              <w:right w:val="single" w:color="auto" w:sz="4" w:space="0"/>
            </w:tcBorders>
            <w:vAlign w:val="center"/>
          </w:tcPr>
          <w:p>
            <w:pPr>
              <w:widowControl/>
              <w:autoSpaceDN w:val="0"/>
              <w:spacing w:line="240" w:lineRule="exact"/>
              <w:rPr>
                <w:rFonts w:ascii="方正仿宋简体" w:eastAsia="方正仿宋_GBK" w:cs="方正仿宋简体"/>
                <w:kern w:val="0"/>
                <w:sz w:val="18"/>
                <w:szCs w:val="18"/>
              </w:rPr>
            </w:pPr>
            <w:r>
              <w:rPr>
                <w:rFonts w:hint="eastAsia" w:ascii="方正仿宋简体" w:eastAsia="方正仿宋_GBK" w:cs="方正仿宋简体"/>
                <w:kern w:val="0"/>
                <w:sz w:val="18"/>
                <w:szCs w:val="18"/>
              </w:rPr>
              <w:t>（一）建筑总面积不足五百平方米的公共娱乐场所或者建筑面积五百平方米以上但不具备娱乐功能的茶馆、咖啡厅等；</w:t>
            </w:r>
          </w:p>
          <w:p>
            <w:pPr>
              <w:widowControl/>
              <w:autoSpaceDN w:val="0"/>
              <w:spacing w:line="240" w:lineRule="exact"/>
              <w:rPr>
                <w:rFonts w:ascii="方正仿宋简体" w:eastAsia="方正仿宋_GBK" w:cs="方正仿宋简体"/>
                <w:kern w:val="0"/>
                <w:sz w:val="18"/>
                <w:szCs w:val="18"/>
              </w:rPr>
            </w:pPr>
            <w:r>
              <w:rPr>
                <w:rFonts w:hint="eastAsia" w:ascii="方正仿宋简体" w:eastAsia="方正仿宋_GBK" w:cs="方正仿宋简体"/>
                <w:kern w:val="0"/>
                <w:sz w:val="18"/>
                <w:szCs w:val="18"/>
              </w:rPr>
              <w:t>（二）建筑总面积不足五千平方米的宾馆、饭店、商场、市场；</w:t>
            </w:r>
          </w:p>
          <w:p>
            <w:pPr>
              <w:widowControl/>
              <w:autoSpaceDN w:val="0"/>
              <w:spacing w:line="240" w:lineRule="exact"/>
              <w:rPr>
                <w:rFonts w:ascii="方正仿宋简体" w:eastAsia="方正仿宋_GBK" w:cs="方正仿宋简体"/>
                <w:kern w:val="0"/>
                <w:sz w:val="18"/>
                <w:szCs w:val="18"/>
              </w:rPr>
            </w:pPr>
            <w:r>
              <w:rPr>
                <w:rFonts w:hint="eastAsia" w:ascii="方正仿宋简体" w:eastAsia="方正仿宋_GBK" w:cs="方正仿宋简体"/>
                <w:kern w:val="0"/>
                <w:sz w:val="18"/>
                <w:szCs w:val="18"/>
              </w:rPr>
              <w:t>（三）多层住宅，多层商住楼，多层办公楼、写字楼；</w:t>
            </w:r>
          </w:p>
          <w:p>
            <w:pPr>
              <w:widowControl/>
              <w:autoSpaceDN w:val="0"/>
              <w:spacing w:line="240" w:lineRule="exact"/>
              <w:rPr>
                <w:rFonts w:ascii="方正仿宋简体" w:eastAsia="方正仿宋_GBK" w:cs="方正仿宋简体"/>
                <w:kern w:val="0"/>
                <w:sz w:val="18"/>
                <w:szCs w:val="18"/>
              </w:rPr>
            </w:pPr>
            <w:r>
              <w:rPr>
                <w:rFonts w:hint="eastAsia" w:ascii="方正仿宋简体" w:eastAsia="方正仿宋_GBK" w:cs="方正仿宋简体"/>
                <w:kern w:val="0"/>
                <w:sz w:val="18"/>
                <w:szCs w:val="18"/>
              </w:rPr>
              <w:t>（四）建筑总面积不足二千五百平方米的医院的门诊楼，大学的教学楼、图书馆、食堂，寺庙、教堂；</w:t>
            </w:r>
          </w:p>
          <w:p>
            <w:pPr>
              <w:widowControl/>
              <w:autoSpaceDN w:val="0"/>
              <w:spacing w:line="240" w:lineRule="exact"/>
              <w:rPr>
                <w:rFonts w:ascii="方正仿宋简体" w:eastAsia="方正仿宋_GBK" w:cs="方正仿宋简体"/>
                <w:kern w:val="0"/>
                <w:sz w:val="18"/>
                <w:szCs w:val="18"/>
              </w:rPr>
            </w:pPr>
            <w:r>
              <w:rPr>
                <w:rFonts w:hint="eastAsia" w:ascii="方正仿宋简体" w:eastAsia="方正仿宋_GBK" w:cs="方正仿宋简体"/>
                <w:kern w:val="0"/>
                <w:sz w:val="18"/>
                <w:szCs w:val="18"/>
              </w:rPr>
              <w:t>（五）建筑总面积不足三万平方米的非劳动密集型生产车间、库房；</w:t>
            </w:r>
          </w:p>
          <w:p>
            <w:pPr>
              <w:widowControl/>
              <w:autoSpaceDN w:val="0"/>
              <w:spacing w:line="240" w:lineRule="exact"/>
              <w:rPr>
                <w:rFonts w:ascii="方正仿宋简体" w:eastAsia="方正仿宋_GBK" w:cs="方正仿宋简体"/>
                <w:kern w:val="0"/>
                <w:sz w:val="18"/>
                <w:szCs w:val="18"/>
              </w:rPr>
            </w:pPr>
            <w:r>
              <w:rPr>
                <w:rFonts w:hint="eastAsia" w:ascii="方正仿宋简体" w:eastAsia="方正仿宋_GBK" w:cs="方正仿宋简体"/>
                <w:kern w:val="0"/>
                <w:sz w:val="18"/>
                <w:szCs w:val="18"/>
              </w:rPr>
              <w:t>（六）其他应进行消防备案抽查的建设工程。</w:t>
            </w:r>
          </w:p>
        </w:tc>
        <w:tc>
          <w:tcPr>
            <w:tcW w:w="1814" w:type="dxa"/>
            <w:tcBorders>
              <w:top w:val="single" w:color="auto" w:sz="4" w:space="0"/>
              <w:left w:val="single" w:color="auto" w:sz="4" w:space="0"/>
              <w:bottom w:val="single" w:color="auto" w:sz="4" w:space="0"/>
              <w:right w:val="single" w:color="auto" w:sz="4" w:space="0"/>
            </w:tcBorders>
            <w:vAlign w:val="center"/>
          </w:tcPr>
          <w:p>
            <w:pPr>
              <w:widowControl/>
              <w:autoSpaceDN w:val="0"/>
              <w:rPr>
                <w:rFonts w:ascii="方正仿宋简体" w:eastAsia="方正仿宋简体" w:cs="方正仿宋简体"/>
                <w:kern w:val="0"/>
                <w:szCs w:val="21"/>
              </w:rPr>
            </w:pPr>
            <w:r>
              <w:rPr>
                <w:rFonts w:hint="eastAsia" w:ascii="方正仿宋简体" w:eastAsia="方正仿宋_GBK" w:cs="方正仿宋简体"/>
                <w:kern w:val="0"/>
                <w:szCs w:val="21"/>
              </w:rPr>
              <w:t>处三万元以上十万元以下罚款</w:t>
            </w:r>
          </w:p>
        </w:tc>
        <w:tc>
          <w:tcPr>
            <w:tcW w:w="1191" w:type="dxa"/>
            <w:vMerge w:val="restart"/>
            <w:tcBorders>
              <w:top w:val="single" w:color="auto" w:sz="4" w:space="0"/>
              <w:left w:val="single" w:color="auto" w:sz="4" w:space="0"/>
              <w:bottom w:val="single" w:color="auto" w:sz="4" w:space="0"/>
              <w:right w:val="single" w:color="auto" w:sz="4" w:space="0"/>
            </w:tcBorders>
            <w:vAlign w:val="center"/>
          </w:tcPr>
          <w:p>
            <w:pPr>
              <w:widowControl/>
              <w:autoSpaceDN w:val="0"/>
              <w:rPr>
                <w:rFonts w:ascii="方正仿宋简体" w:eastAsia="方正仿宋简体" w:cs="方正仿宋简体"/>
                <w:spacing w:val="8"/>
                <w:szCs w:val="21"/>
              </w:rPr>
            </w:pPr>
            <w:r>
              <w:rPr>
                <w:rFonts w:hint="eastAsia" w:ascii="方正仿宋简体" w:eastAsia="方正仿宋_GBK" w:cs="方正仿宋简体"/>
                <w:kern w:val="0"/>
                <w:szCs w:val="21"/>
              </w:rPr>
              <w:t>住房和城乡建设主管部门、消防救援机构按照各自职权责令停止使用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2" w:hRule="atLeast"/>
          <w:jc w:val="center"/>
        </w:trPr>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3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204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191" w:type="dxa"/>
            <w:tcBorders>
              <w:top w:val="single" w:color="auto" w:sz="4" w:space="0"/>
              <w:left w:val="single" w:color="auto" w:sz="4" w:space="0"/>
              <w:bottom w:val="single" w:color="auto" w:sz="4" w:space="0"/>
              <w:right w:val="single" w:color="auto" w:sz="4" w:space="0"/>
            </w:tcBorders>
            <w:vAlign w:val="center"/>
          </w:tcPr>
          <w:p>
            <w:pPr>
              <w:autoSpaceDN w:val="0"/>
              <w:spacing w:line="271" w:lineRule="auto"/>
              <w:jc w:val="center"/>
              <w:rPr>
                <w:rFonts w:ascii="方正仿宋简体" w:eastAsia="方正仿宋简体" w:cs="方正仿宋简体"/>
                <w:kern w:val="0"/>
                <w:szCs w:val="21"/>
              </w:rPr>
            </w:pPr>
            <w:r>
              <w:rPr>
                <w:rFonts w:hint="eastAsia" w:ascii="方正仿宋简体" w:eastAsia="方正仿宋_GBK" w:cs="方正仿宋简体"/>
                <w:szCs w:val="21"/>
              </w:rPr>
              <w:t>较重</w:t>
            </w:r>
          </w:p>
        </w:tc>
        <w:tc>
          <w:tcPr>
            <w:tcW w:w="4252" w:type="dxa"/>
            <w:tcBorders>
              <w:top w:val="single" w:color="auto" w:sz="4" w:space="0"/>
              <w:left w:val="single" w:color="auto" w:sz="4" w:space="0"/>
              <w:bottom w:val="single" w:color="auto" w:sz="4" w:space="0"/>
              <w:right w:val="single" w:color="auto" w:sz="4" w:space="0"/>
            </w:tcBorders>
            <w:vAlign w:val="center"/>
          </w:tcPr>
          <w:p>
            <w:pPr>
              <w:widowControl/>
              <w:autoSpaceDN w:val="0"/>
              <w:spacing w:line="240" w:lineRule="exact"/>
              <w:rPr>
                <w:rFonts w:ascii="方正仿宋简体" w:eastAsia="方正仿宋_GBK" w:cs="方正仿宋简体"/>
                <w:kern w:val="0"/>
                <w:sz w:val="18"/>
                <w:szCs w:val="18"/>
              </w:rPr>
            </w:pPr>
            <w:r>
              <w:rPr>
                <w:rFonts w:hint="eastAsia" w:ascii="方正仿宋简体" w:eastAsia="方正仿宋_GBK" w:cs="方正仿宋简体"/>
                <w:kern w:val="0"/>
                <w:sz w:val="18"/>
                <w:szCs w:val="18"/>
              </w:rPr>
              <w:t>（一）建筑面积不足二万平方米的体育馆、会堂；</w:t>
            </w:r>
          </w:p>
          <w:p>
            <w:pPr>
              <w:widowControl/>
              <w:autoSpaceDN w:val="0"/>
              <w:spacing w:line="240" w:lineRule="exact"/>
              <w:rPr>
                <w:rFonts w:ascii="方正仿宋简体" w:eastAsia="方正仿宋_GBK" w:cs="方正仿宋简体"/>
                <w:kern w:val="0"/>
                <w:sz w:val="18"/>
                <w:szCs w:val="18"/>
              </w:rPr>
            </w:pPr>
            <w:r>
              <w:rPr>
                <w:rFonts w:hint="eastAsia" w:ascii="方正仿宋简体" w:eastAsia="方正仿宋_GBK" w:cs="方正仿宋简体"/>
                <w:kern w:val="0"/>
                <w:sz w:val="18"/>
                <w:szCs w:val="18"/>
              </w:rPr>
              <w:t>（二）建筑总面积五千平方米以上、不足一万平方米的宾馆、饭店、商场、市场；</w:t>
            </w:r>
          </w:p>
          <w:p>
            <w:pPr>
              <w:widowControl/>
              <w:autoSpaceDN w:val="0"/>
              <w:spacing w:line="240" w:lineRule="exact"/>
              <w:rPr>
                <w:rFonts w:ascii="方正仿宋简体" w:eastAsia="方正仿宋_GBK" w:cs="方正仿宋简体"/>
                <w:kern w:val="0"/>
                <w:sz w:val="18"/>
                <w:szCs w:val="18"/>
              </w:rPr>
            </w:pPr>
            <w:r>
              <w:rPr>
                <w:rFonts w:hint="eastAsia" w:ascii="方正仿宋简体" w:eastAsia="方正仿宋_GBK" w:cs="方正仿宋简体"/>
                <w:kern w:val="0"/>
                <w:sz w:val="18"/>
                <w:szCs w:val="18"/>
              </w:rPr>
              <w:t>（三）国家标准规定的二类以下高层住宅建筑，高层办公楼、写字楼；</w:t>
            </w:r>
          </w:p>
          <w:p>
            <w:pPr>
              <w:widowControl/>
              <w:autoSpaceDN w:val="0"/>
              <w:spacing w:line="240" w:lineRule="exact"/>
              <w:rPr>
                <w:rFonts w:ascii="方正仿宋简体" w:eastAsia="方正仿宋_GBK" w:cs="方正仿宋简体"/>
                <w:kern w:val="0"/>
                <w:sz w:val="18"/>
                <w:szCs w:val="18"/>
              </w:rPr>
            </w:pPr>
            <w:r>
              <w:rPr>
                <w:rFonts w:hint="eastAsia" w:ascii="方正仿宋简体" w:eastAsia="方正仿宋_GBK" w:cs="方正仿宋简体"/>
                <w:kern w:val="0"/>
                <w:sz w:val="18"/>
                <w:szCs w:val="18"/>
              </w:rPr>
              <w:t>（四）建筑总面积不足二千五百平方米的影剧院、公共图书馆的阅览室，营业性室内健身、休闲场馆；</w:t>
            </w:r>
          </w:p>
          <w:p>
            <w:pPr>
              <w:widowControl/>
              <w:autoSpaceDN w:val="0"/>
              <w:spacing w:line="240" w:lineRule="exact"/>
              <w:rPr>
                <w:rFonts w:ascii="方正仿宋简体" w:eastAsia="方正仿宋_GBK" w:cs="方正仿宋简体"/>
                <w:kern w:val="0"/>
                <w:sz w:val="18"/>
                <w:szCs w:val="18"/>
              </w:rPr>
            </w:pPr>
            <w:r>
              <w:rPr>
                <w:rFonts w:hint="eastAsia" w:ascii="方正仿宋简体" w:eastAsia="方正仿宋_GBK" w:cs="方正仿宋简体"/>
                <w:kern w:val="0"/>
                <w:sz w:val="18"/>
                <w:szCs w:val="18"/>
              </w:rPr>
              <w:t>（五）建筑总面积三万平方米以上的非劳动密集型生产车间、库房。</w:t>
            </w:r>
          </w:p>
        </w:tc>
        <w:tc>
          <w:tcPr>
            <w:tcW w:w="1814" w:type="dxa"/>
            <w:tcBorders>
              <w:top w:val="single" w:color="auto" w:sz="4" w:space="0"/>
              <w:left w:val="single" w:color="auto" w:sz="4" w:space="0"/>
              <w:bottom w:val="single" w:color="auto" w:sz="4" w:space="0"/>
              <w:right w:val="single" w:color="auto" w:sz="4" w:space="0"/>
            </w:tcBorders>
            <w:vAlign w:val="center"/>
          </w:tcPr>
          <w:p>
            <w:pPr>
              <w:widowControl/>
              <w:autoSpaceDN w:val="0"/>
              <w:rPr>
                <w:rFonts w:ascii="方正仿宋简体" w:eastAsia="方正仿宋简体" w:cs="方正仿宋简体"/>
                <w:kern w:val="0"/>
                <w:szCs w:val="21"/>
              </w:rPr>
            </w:pPr>
            <w:r>
              <w:rPr>
                <w:rFonts w:hint="eastAsia" w:ascii="方正仿宋简体" w:eastAsia="方正仿宋_GBK" w:cs="方正仿宋简体"/>
                <w:kern w:val="0"/>
                <w:szCs w:val="21"/>
              </w:rPr>
              <w:t>处十万元以上二十万元以下罚款</w:t>
            </w:r>
          </w:p>
        </w:tc>
        <w:tc>
          <w:tcPr>
            <w:tcW w:w="11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spacing w:val="8"/>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3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204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191" w:type="dxa"/>
            <w:tcBorders>
              <w:top w:val="single" w:color="auto" w:sz="4" w:space="0"/>
              <w:left w:val="single" w:color="auto" w:sz="4" w:space="0"/>
              <w:bottom w:val="single" w:color="auto" w:sz="4" w:space="0"/>
              <w:right w:val="single" w:color="auto" w:sz="4" w:space="0"/>
            </w:tcBorders>
            <w:vAlign w:val="center"/>
          </w:tcPr>
          <w:p>
            <w:pPr>
              <w:autoSpaceDN w:val="0"/>
              <w:spacing w:line="271" w:lineRule="auto"/>
              <w:jc w:val="center"/>
              <w:rPr>
                <w:rFonts w:ascii="方正仿宋简体" w:eastAsia="方正仿宋简体" w:cs="方正仿宋简体"/>
                <w:kern w:val="0"/>
                <w:szCs w:val="21"/>
              </w:rPr>
            </w:pPr>
            <w:r>
              <w:rPr>
                <w:rFonts w:hint="eastAsia" w:ascii="方正仿宋简体" w:eastAsia="方正仿宋简体" w:cs="方正仿宋简体"/>
                <w:szCs w:val="21"/>
              </w:rPr>
              <w:t>严重</w:t>
            </w:r>
          </w:p>
        </w:tc>
        <w:tc>
          <w:tcPr>
            <w:tcW w:w="4252" w:type="dxa"/>
            <w:tcBorders>
              <w:top w:val="single" w:color="auto" w:sz="4" w:space="0"/>
              <w:left w:val="single" w:color="auto" w:sz="4" w:space="0"/>
              <w:bottom w:val="single" w:color="auto" w:sz="4" w:space="0"/>
              <w:right w:val="single" w:color="auto" w:sz="4" w:space="0"/>
            </w:tcBorders>
            <w:vAlign w:val="center"/>
          </w:tcPr>
          <w:p>
            <w:pPr>
              <w:widowControl/>
              <w:autoSpaceDN w:val="0"/>
              <w:spacing w:line="240" w:lineRule="exact"/>
              <w:rPr>
                <w:rFonts w:ascii="方正仿宋简体" w:eastAsia="方正仿宋简体" w:cs="方正仿宋简体"/>
                <w:kern w:val="0"/>
                <w:szCs w:val="21"/>
              </w:rPr>
            </w:pPr>
            <w:r>
              <w:rPr>
                <w:rFonts w:hint="eastAsia" w:ascii="方正仿宋简体" w:eastAsia="方正仿宋_GBK" w:cs="方正仿宋简体"/>
                <w:kern w:val="0"/>
                <w:sz w:val="18"/>
                <w:szCs w:val="18"/>
              </w:rPr>
              <w:t>造成严重危害后果的</w:t>
            </w:r>
          </w:p>
        </w:tc>
        <w:tc>
          <w:tcPr>
            <w:tcW w:w="1814" w:type="dxa"/>
            <w:tcBorders>
              <w:top w:val="single" w:color="auto" w:sz="4" w:space="0"/>
              <w:left w:val="single" w:color="auto" w:sz="4" w:space="0"/>
              <w:bottom w:val="single" w:color="auto" w:sz="4" w:space="0"/>
              <w:right w:val="single" w:color="auto" w:sz="4" w:space="0"/>
            </w:tcBorders>
            <w:vAlign w:val="center"/>
          </w:tcPr>
          <w:p>
            <w:pPr>
              <w:widowControl/>
              <w:autoSpaceDN w:val="0"/>
              <w:rPr>
                <w:rFonts w:ascii="方正仿宋简体" w:eastAsia="方正仿宋简体" w:cs="方正仿宋简体"/>
                <w:kern w:val="0"/>
                <w:szCs w:val="21"/>
              </w:rPr>
            </w:pPr>
            <w:r>
              <w:rPr>
                <w:rFonts w:hint="eastAsia" w:ascii="方正仿宋简体" w:eastAsia="方正仿宋_GBK" w:cs="方正仿宋简体"/>
                <w:kern w:val="0"/>
                <w:szCs w:val="21"/>
              </w:rPr>
              <w:t>处二十万元以上三十万元以下罚款</w:t>
            </w:r>
          </w:p>
        </w:tc>
        <w:tc>
          <w:tcPr>
            <w:tcW w:w="11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spacing w:val="8"/>
                <w:szCs w:val="21"/>
              </w:rPr>
            </w:pPr>
          </w:p>
        </w:tc>
      </w:tr>
    </w:tbl>
    <w:p>
      <w:pPr>
        <w:widowControl/>
        <w:jc w:val="left"/>
        <w:rPr>
          <w:rFonts w:ascii="宋体" w:hAnsi="宋体" w:cs="宋体"/>
          <w:kern w:val="0"/>
          <w:sz w:val="24"/>
          <w:szCs w:val="24"/>
        </w:rPr>
        <w:sectPr>
          <w:pgSz w:w="16838" w:h="11906" w:orient="landscape"/>
          <w:pgMar w:top="1134" w:right="1247" w:bottom="1134" w:left="1247" w:header="851" w:footer="851" w:gutter="0"/>
          <w:pgNumType w:fmt="numberInDash"/>
          <w:cols w:space="720" w:num="1"/>
          <w:docGrid w:type="lines" w:linePitch="312" w:charSpace="0"/>
        </w:sectPr>
      </w:pPr>
    </w:p>
    <w:p>
      <w:pPr>
        <w:autoSpaceDN w:val="0"/>
        <w:outlineLvl w:val="0"/>
        <w:rPr>
          <w:rFonts w:ascii="方正黑体_GBK" w:eastAsia="方正黑体_GBK" w:cs="方正黑体_GBK"/>
          <w:sz w:val="32"/>
          <w:szCs w:val="32"/>
        </w:rPr>
      </w:pPr>
      <w:r>
        <w:rPr>
          <w:rFonts w:hint="eastAsia" w:ascii="方正黑体_GBK" w:eastAsia="方正黑体_GBK" w:cs="方正黑体_GBK"/>
          <w:sz w:val="32"/>
          <w:szCs w:val="32"/>
        </w:rPr>
        <w:t>《中华人民共和国消防法》</w:t>
      </w:r>
    </w:p>
    <w:tbl>
      <w:tblPr>
        <w:tblStyle w:val="8"/>
        <w:tblW w:w="1491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80"/>
        <w:gridCol w:w="1361"/>
        <w:gridCol w:w="1417"/>
        <w:gridCol w:w="2268"/>
        <w:gridCol w:w="2268"/>
        <w:gridCol w:w="1191"/>
        <w:gridCol w:w="2268"/>
        <w:gridCol w:w="2268"/>
        <w:gridCol w:w="119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80"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序号</w:t>
            </w:r>
          </w:p>
        </w:tc>
        <w:tc>
          <w:tcPr>
            <w:tcW w:w="1361"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基准编号</w:t>
            </w:r>
          </w:p>
        </w:tc>
        <w:tc>
          <w:tcPr>
            <w:tcW w:w="1417"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违法行为</w:t>
            </w:r>
          </w:p>
        </w:tc>
        <w:tc>
          <w:tcPr>
            <w:tcW w:w="2268"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违反条款</w:t>
            </w:r>
          </w:p>
        </w:tc>
        <w:tc>
          <w:tcPr>
            <w:tcW w:w="2268"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处罚依据</w:t>
            </w:r>
          </w:p>
        </w:tc>
        <w:tc>
          <w:tcPr>
            <w:tcW w:w="1191"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裁量幅度</w:t>
            </w:r>
          </w:p>
        </w:tc>
        <w:tc>
          <w:tcPr>
            <w:tcW w:w="2268"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违法情节和后果</w:t>
            </w:r>
          </w:p>
        </w:tc>
        <w:tc>
          <w:tcPr>
            <w:tcW w:w="2268"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处罚裁量基准</w:t>
            </w:r>
          </w:p>
        </w:tc>
        <w:tc>
          <w:tcPr>
            <w:tcW w:w="1191"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其他处理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35" w:hRule="atLeast"/>
          <w:jc w:val="center"/>
        </w:trPr>
        <w:tc>
          <w:tcPr>
            <w:tcW w:w="680" w:type="dxa"/>
            <w:vMerge w:val="restart"/>
            <w:tcBorders>
              <w:top w:val="single" w:color="auto" w:sz="4" w:space="0"/>
              <w:left w:val="single" w:color="auto" w:sz="4" w:space="0"/>
              <w:bottom w:val="single" w:color="auto" w:sz="4" w:space="0"/>
              <w:right w:val="single" w:color="auto" w:sz="4" w:space="0"/>
            </w:tcBorders>
            <w:vAlign w:val="center"/>
          </w:tcPr>
          <w:p>
            <w:pPr>
              <w:widowControl/>
              <w:autoSpaceDN w:val="0"/>
              <w:jc w:val="center"/>
              <w:rPr>
                <w:rFonts w:ascii="方正仿宋简体" w:eastAsia="方正仿宋简体" w:cs="方正仿宋简体"/>
                <w:kern w:val="0"/>
                <w:szCs w:val="21"/>
              </w:rPr>
            </w:pPr>
            <w:r>
              <w:rPr>
                <w:rFonts w:hint="eastAsia" w:ascii="方正仿宋简体" w:eastAsia="方正仿宋_GBK" w:cs="方正仿宋简体"/>
                <w:kern w:val="0"/>
                <w:szCs w:val="21"/>
              </w:rPr>
              <w:t>337</w:t>
            </w:r>
          </w:p>
        </w:tc>
        <w:tc>
          <w:tcPr>
            <w:tcW w:w="1361" w:type="dxa"/>
            <w:vMerge w:val="restart"/>
            <w:tcBorders>
              <w:top w:val="single" w:color="auto" w:sz="4" w:space="0"/>
              <w:left w:val="single" w:color="auto" w:sz="4" w:space="0"/>
              <w:bottom w:val="single" w:color="auto" w:sz="4" w:space="0"/>
              <w:right w:val="single" w:color="auto" w:sz="4" w:space="0"/>
            </w:tcBorders>
            <w:vAlign w:val="center"/>
          </w:tcPr>
          <w:p>
            <w:pPr>
              <w:widowControl/>
              <w:autoSpaceDN w:val="0"/>
              <w:jc w:val="center"/>
              <w:rPr>
                <w:rFonts w:ascii="方正仿宋简体" w:eastAsia="方正仿宋简体" w:cs="方正仿宋简体"/>
                <w:kern w:val="0"/>
                <w:szCs w:val="21"/>
              </w:rPr>
            </w:pPr>
            <w:r>
              <w:rPr>
                <w:rFonts w:hint="eastAsia" w:ascii="方正仿宋简体" w:eastAsia="方正仿宋_GBK" w:cs="方正仿宋简体"/>
                <w:szCs w:val="21"/>
              </w:rPr>
              <w:t>G100105804</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widowControl/>
              <w:autoSpaceDN w:val="0"/>
              <w:rPr>
                <w:rFonts w:ascii="方正仿宋简体" w:eastAsia="方正仿宋简体" w:cs="方正仿宋简体"/>
                <w:kern w:val="0"/>
                <w:szCs w:val="21"/>
              </w:rPr>
            </w:pPr>
            <w:r>
              <w:rPr>
                <w:rFonts w:hint="eastAsia" w:ascii="方正仿宋简体" w:eastAsia="方正仿宋_GBK" w:cs="方正仿宋简体"/>
                <w:kern w:val="0"/>
                <w:szCs w:val="21"/>
              </w:rPr>
              <w:t>建设单位未依照本法规定在验收后报住房和城乡建设主管部门备案的</w:t>
            </w:r>
          </w:p>
        </w:tc>
        <w:tc>
          <w:tcPr>
            <w:tcW w:w="2268" w:type="dxa"/>
            <w:vMerge w:val="restart"/>
            <w:tcBorders>
              <w:top w:val="single" w:color="auto" w:sz="4" w:space="0"/>
              <w:left w:val="single" w:color="auto" w:sz="4" w:space="0"/>
              <w:bottom w:val="single" w:color="auto" w:sz="4" w:space="0"/>
              <w:right w:val="single" w:color="auto" w:sz="4" w:space="0"/>
            </w:tcBorders>
            <w:vAlign w:val="center"/>
          </w:tcPr>
          <w:p>
            <w:pPr>
              <w:widowControl/>
              <w:autoSpaceDN w:val="0"/>
              <w:spacing w:line="240" w:lineRule="exact"/>
              <w:rPr>
                <w:rFonts w:ascii="方正仿宋简体" w:eastAsia="方正仿宋_GBK" w:cs="方正仿宋简体"/>
                <w:kern w:val="0"/>
                <w:sz w:val="18"/>
                <w:szCs w:val="18"/>
              </w:rPr>
            </w:pPr>
            <w:r>
              <w:rPr>
                <w:rFonts w:hint="eastAsia" w:ascii="方正仿宋简体" w:eastAsia="方正仿宋_GBK" w:cs="方正仿宋简体"/>
                <w:kern w:val="0"/>
                <w:sz w:val="18"/>
                <w:szCs w:val="18"/>
              </w:rPr>
              <w:t>《中华人民共和国消防法》第十三条 国务院住房和城乡建设主管部门规定应当申请消防验收的建设工程竣工，建设单位应当向住房和城乡建设主管部门申请消防验收。</w:t>
            </w:r>
          </w:p>
          <w:p>
            <w:pPr>
              <w:widowControl/>
              <w:autoSpaceDN w:val="0"/>
              <w:spacing w:line="240" w:lineRule="exact"/>
              <w:rPr>
                <w:rFonts w:ascii="方正仿宋简体" w:eastAsia="方正仿宋_GBK" w:cs="方正仿宋简体"/>
                <w:kern w:val="0"/>
                <w:sz w:val="18"/>
                <w:szCs w:val="18"/>
              </w:rPr>
            </w:pPr>
            <w:r>
              <w:rPr>
                <w:rFonts w:hint="eastAsia" w:ascii="方正仿宋简体" w:eastAsia="方正仿宋_GBK" w:cs="方正仿宋简体"/>
                <w:kern w:val="0"/>
                <w:sz w:val="18"/>
                <w:szCs w:val="18"/>
              </w:rPr>
              <w:t>前款规定以外的其他建设工程，建设单位在验收后应当报住房和城乡建设主管部门备案，住房和城乡建设主管部门应当进行抽查。</w:t>
            </w:r>
          </w:p>
          <w:p>
            <w:pPr>
              <w:widowControl/>
              <w:autoSpaceDN w:val="0"/>
              <w:spacing w:line="240" w:lineRule="exact"/>
              <w:rPr>
                <w:rFonts w:ascii="方正仿宋简体" w:eastAsia="方正仿宋简体" w:cs="方正仿宋简体"/>
                <w:kern w:val="0"/>
                <w:szCs w:val="21"/>
              </w:rPr>
            </w:pPr>
            <w:r>
              <w:rPr>
                <w:rFonts w:hint="eastAsia" w:ascii="方正仿宋简体" w:eastAsia="方正仿宋_GBK" w:cs="方正仿宋简体"/>
                <w:kern w:val="0"/>
                <w:sz w:val="18"/>
                <w:szCs w:val="18"/>
              </w:rPr>
              <w:t>依法应当进行消防验收的建设工程，未经消防验收或者消防验收不合格的，禁止投入使用；其他建设工程经依法抽查不合格的，应当停止使用。</w:t>
            </w:r>
          </w:p>
        </w:tc>
        <w:tc>
          <w:tcPr>
            <w:tcW w:w="2268" w:type="dxa"/>
            <w:vMerge w:val="restart"/>
            <w:tcBorders>
              <w:top w:val="single" w:color="auto" w:sz="4" w:space="0"/>
              <w:left w:val="single" w:color="auto" w:sz="4" w:space="0"/>
              <w:bottom w:val="single" w:color="auto" w:sz="4" w:space="0"/>
              <w:right w:val="single" w:color="auto" w:sz="4" w:space="0"/>
            </w:tcBorders>
            <w:vAlign w:val="center"/>
          </w:tcPr>
          <w:p>
            <w:pPr>
              <w:widowControl/>
              <w:autoSpaceDN w:val="0"/>
              <w:rPr>
                <w:rFonts w:ascii="方正仿宋简体" w:eastAsia="方正仿宋简体" w:cs="方正仿宋简体"/>
                <w:kern w:val="0"/>
                <w:szCs w:val="21"/>
              </w:rPr>
            </w:pPr>
            <w:r>
              <w:rPr>
                <w:rFonts w:hint="eastAsia" w:ascii="方正仿宋简体" w:eastAsia="方正仿宋_GBK" w:cs="方正仿宋简体"/>
                <w:kern w:val="0"/>
                <w:szCs w:val="21"/>
              </w:rPr>
              <w:t>《中华人民共和国消防法》第五十八条第三款 建设单位未依照本法规定在验收后报住房和城乡建设主管部门备案的，由住房和城乡建设主管部门责令改正，处五千元以下罚款。</w:t>
            </w:r>
          </w:p>
        </w:tc>
        <w:tc>
          <w:tcPr>
            <w:tcW w:w="1191" w:type="dxa"/>
            <w:tcBorders>
              <w:top w:val="single" w:color="auto" w:sz="4" w:space="0"/>
              <w:left w:val="single" w:color="auto" w:sz="4" w:space="0"/>
              <w:bottom w:val="single" w:color="auto" w:sz="4" w:space="0"/>
              <w:right w:val="single" w:color="auto" w:sz="4" w:space="0"/>
            </w:tcBorders>
            <w:vAlign w:val="center"/>
          </w:tcPr>
          <w:p>
            <w:pPr>
              <w:widowControl/>
              <w:autoSpaceDN w:val="0"/>
              <w:jc w:val="center"/>
              <w:rPr>
                <w:rFonts w:ascii="方正仿宋简体" w:eastAsia="方正仿宋简体" w:cs="方正仿宋简体"/>
                <w:kern w:val="0"/>
                <w:szCs w:val="21"/>
              </w:rPr>
            </w:pPr>
            <w:r>
              <w:rPr>
                <w:rFonts w:hint="eastAsia" w:ascii="方正仿宋简体" w:eastAsia="方正仿宋_GBK" w:cs="方正仿宋简体"/>
                <w:szCs w:val="21"/>
              </w:rPr>
              <w:t>较轻</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autoSpaceDN w:val="0"/>
              <w:rPr>
                <w:rFonts w:ascii="方正仿宋简体" w:eastAsia="方正仿宋简体" w:cs="方正仿宋简体"/>
                <w:kern w:val="0"/>
                <w:szCs w:val="21"/>
              </w:rPr>
            </w:pPr>
            <w:r>
              <w:rPr>
                <w:rFonts w:hint="eastAsia" w:ascii="方正仿宋简体" w:eastAsia="方正仿宋_GBK" w:cs="方正仿宋简体"/>
                <w:szCs w:val="21"/>
              </w:rPr>
              <w:t>逾期3个月以内改正的</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autoSpaceDN w:val="0"/>
              <w:rPr>
                <w:rFonts w:ascii="方正仿宋简体" w:eastAsia="方正仿宋简体" w:cs="方正仿宋简体"/>
                <w:kern w:val="0"/>
                <w:szCs w:val="21"/>
              </w:rPr>
            </w:pPr>
            <w:r>
              <w:rPr>
                <w:rFonts w:hint="eastAsia" w:ascii="方正仿宋简体" w:eastAsia="方正仿宋_GBK" w:cs="方正仿宋简体"/>
                <w:kern w:val="0"/>
                <w:szCs w:val="21"/>
              </w:rPr>
              <w:t>处一千五百元以下罚款</w:t>
            </w:r>
          </w:p>
        </w:tc>
        <w:tc>
          <w:tcPr>
            <w:tcW w:w="1191" w:type="dxa"/>
            <w:vMerge w:val="restart"/>
            <w:tcBorders>
              <w:top w:val="single" w:color="auto" w:sz="4" w:space="0"/>
              <w:left w:val="single" w:color="auto" w:sz="4" w:space="0"/>
              <w:bottom w:val="single" w:color="auto" w:sz="4" w:space="0"/>
              <w:right w:val="single" w:color="auto" w:sz="4" w:space="0"/>
            </w:tcBorders>
            <w:vAlign w:val="center"/>
          </w:tcPr>
          <w:p>
            <w:pPr>
              <w:widowControl/>
              <w:autoSpaceDN w:val="0"/>
              <w:rPr>
                <w:rFonts w:ascii="方正仿宋简体" w:eastAsia="方正仿宋简体" w:cs="方正仿宋简体"/>
                <w:spacing w:val="8"/>
                <w:szCs w:val="21"/>
              </w:rPr>
            </w:pPr>
            <w:r>
              <w:rPr>
                <w:rFonts w:hint="eastAsia" w:ascii="方正仿宋简体" w:eastAsia="方正仿宋_GBK" w:cs="方正仿宋简体"/>
                <w:kern w:val="0"/>
                <w:szCs w:val="21"/>
              </w:rPr>
              <w:t>住房和城乡建设主管部门责令改正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35" w:hRule="atLeast"/>
          <w:jc w:val="center"/>
        </w:trPr>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3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191" w:type="dxa"/>
            <w:tcBorders>
              <w:top w:val="single" w:color="auto" w:sz="4" w:space="0"/>
              <w:left w:val="single" w:color="auto" w:sz="4" w:space="0"/>
              <w:bottom w:val="single" w:color="auto" w:sz="4" w:space="0"/>
              <w:right w:val="single" w:color="auto" w:sz="4" w:space="0"/>
            </w:tcBorders>
            <w:vAlign w:val="center"/>
          </w:tcPr>
          <w:p>
            <w:pPr>
              <w:autoSpaceDN w:val="0"/>
              <w:spacing w:line="271" w:lineRule="auto"/>
              <w:jc w:val="center"/>
              <w:rPr>
                <w:rFonts w:ascii="方正仿宋简体" w:eastAsia="方正仿宋简体" w:cs="方正仿宋简体"/>
                <w:kern w:val="0"/>
                <w:szCs w:val="21"/>
              </w:rPr>
            </w:pPr>
            <w:r>
              <w:rPr>
                <w:rFonts w:hint="eastAsia" w:ascii="方正仿宋简体" w:eastAsia="方正仿宋_GBK" w:cs="方正仿宋简体"/>
                <w:szCs w:val="21"/>
              </w:rPr>
              <w:t>较重</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autoSpaceDN w:val="0"/>
              <w:rPr>
                <w:rFonts w:ascii="方正仿宋简体" w:eastAsia="方正仿宋_GBK" w:cs="方正仿宋简体"/>
                <w:szCs w:val="21"/>
              </w:rPr>
            </w:pPr>
          </w:p>
          <w:p>
            <w:pPr>
              <w:widowControl/>
              <w:autoSpaceDN w:val="0"/>
              <w:rPr>
                <w:rFonts w:ascii="方正仿宋简体" w:eastAsia="方正仿宋简体" w:cs="方正仿宋简体"/>
                <w:kern w:val="0"/>
                <w:szCs w:val="21"/>
              </w:rPr>
            </w:pPr>
            <w:r>
              <w:rPr>
                <w:rFonts w:hint="eastAsia" w:ascii="方正仿宋简体" w:eastAsia="方正仿宋_GBK" w:cs="方正仿宋简体"/>
                <w:szCs w:val="21"/>
              </w:rPr>
              <w:t>逾期3个月以上6个月以内改正的</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autoSpaceDN w:val="0"/>
              <w:rPr>
                <w:rFonts w:ascii="方正仿宋简体" w:eastAsia="方正仿宋_GBK" w:cs="方正仿宋简体"/>
                <w:kern w:val="0"/>
                <w:szCs w:val="21"/>
              </w:rPr>
            </w:pPr>
          </w:p>
          <w:p>
            <w:pPr>
              <w:widowControl/>
              <w:autoSpaceDN w:val="0"/>
              <w:rPr>
                <w:rFonts w:ascii="方正仿宋简体" w:eastAsia="方正仿宋简体" w:cs="方正仿宋简体"/>
                <w:kern w:val="0"/>
                <w:szCs w:val="21"/>
              </w:rPr>
            </w:pPr>
            <w:r>
              <w:rPr>
                <w:rFonts w:hint="eastAsia" w:ascii="方正仿宋简体" w:eastAsia="方正仿宋_GBK" w:cs="方正仿宋简体"/>
                <w:kern w:val="0"/>
                <w:szCs w:val="21"/>
              </w:rPr>
              <w:t>处一千五百元以上三千五百元以下罚款</w:t>
            </w:r>
          </w:p>
        </w:tc>
        <w:tc>
          <w:tcPr>
            <w:tcW w:w="11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spacing w:val="8"/>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35" w:hRule="atLeast"/>
          <w:jc w:val="center"/>
        </w:trPr>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3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191" w:type="dxa"/>
            <w:tcBorders>
              <w:top w:val="single" w:color="auto" w:sz="4" w:space="0"/>
              <w:left w:val="single" w:color="auto" w:sz="4" w:space="0"/>
              <w:bottom w:val="single" w:color="auto" w:sz="4" w:space="0"/>
              <w:right w:val="single" w:color="auto" w:sz="4" w:space="0"/>
            </w:tcBorders>
            <w:vAlign w:val="center"/>
          </w:tcPr>
          <w:p>
            <w:pPr>
              <w:autoSpaceDN w:val="0"/>
              <w:spacing w:line="271" w:lineRule="auto"/>
              <w:jc w:val="center"/>
              <w:rPr>
                <w:rFonts w:ascii="方正仿宋简体" w:eastAsia="方正仿宋简体" w:cs="方正仿宋简体"/>
                <w:kern w:val="0"/>
                <w:szCs w:val="21"/>
              </w:rPr>
            </w:pPr>
            <w:r>
              <w:rPr>
                <w:rFonts w:hint="eastAsia" w:ascii="方正仿宋简体" w:eastAsia="方正仿宋简体" w:cs="方正仿宋简体"/>
                <w:szCs w:val="21"/>
              </w:rPr>
              <w:t>严重</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autoSpaceDN w:val="0"/>
              <w:rPr>
                <w:rFonts w:ascii="方正仿宋简体" w:eastAsia="方正仿宋简体" w:cs="方正仿宋简体"/>
                <w:kern w:val="0"/>
                <w:szCs w:val="21"/>
              </w:rPr>
            </w:pPr>
            <w:r>
              <w:rPr>
                <w:rFonts w:hint="eastAsia" w:ascii="方正仿宋简体" w:eastAsia="方正仿宋_GBK" w:cs="方正仿宋简体"/>
                <w:szCs w:val="21"/>
              </w:rPr>
              <w:t>逾期6个月以上未改正的</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autoSpaceDN w:val="0"/>
              <w:rPr>
                <w:rFonts w:ascii="方正仿宋简体" w:eastAsia="方正仿宋简体" w:cs="方正仿宋简体"/>
                <w:kern w:val="0"/>
                <w:szCs w:val="21"/>
              </w:rPr>
            </w:pPr>
            <w:r>
              <w:rPr>
                <w:rFonts w:hint="eastAsia" w:ascii="方正仿宋简体" w:eastAsia="方正仿宋_GBK" w:cs="方正仿宋简体"/>
                <w:kern w:val="0"/>
                <w:szCs w:val="21"/>
              </w:rPr>
              <w:t>处三千五百元以上五千元以下罚款</w:t>
            </w:r>
          </w:p>
        </w:tc>
        <w:tc>
          <w:tcPr>
            <w:tcW w:w="11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spacing w:val="8"/>
                <w:szCs w:val="21"/>
              </w:rPr>
            </w:pPr>
          </w:p>
        </w:tc>
      </w:tr>
    </w:tbl>
    <w:p>
      <w:pPr>
        <w:widowControl/>
        <w:jc w:val="left"/>
        <w:rPr>
          <w:rFonts w:ascii="宋体" w:hAnsi="宋体" w:cs="宋体"/>
          <w:kern w:val="0"/>
          <w:sz w:val="24"/>
          <w:szCs w:val="24"/>
        </w:rPr>
        <w:sectPr>
          <w:pgSz w:w="16838" w:h="11906" w:orient="landscape"/>
          <w:pgMar w:top="1134" w:right="1247" w:bottom="1134" w:left="1247" w:header="851" w:footer="851" w:gutter="0"/>
          <w:pgNumType w:fmt="numberInDash"/>
          <w:cols w:space="720" w:num="1"/>
          <w:docGrid w:type="lines" w:linePitch="312" w:charSpace="0"/>
        </w:sectPr>
      </w:pPr>
    </w:p>
    <w:p>
      <w:pPr>
        <w:autoSpaceDN w:val="0"/>
        <w:outlineLvl w:val="0"/>
        <w:rPr>
          <w:rFonts w:hint="eastAsia" w:ascii="方正黑体_GBK" w:eastAsia="方正黑体_GBK" w:cs="方正黑体_GBK"/>
          <w:sz w:val="32"/>
          <w:szCs w:val="32"/>
        </w:rPr>
      </w:pPr>
      <w:r>
        <w:rPr>
          <w:rFonts w:hint="eastAsia" w:ascii="方正黑体_GBK" w:eastAsia="方正黑体_GBK" w:cs="方正黑体_GBK"/>
          <w:sz w:val="32"/>
          <w:szCs w:val="32"/>
        </w:rPr>
        <w:t>《保障农民工工资支付条例》</w:t>
      </w:r>
    </w:p>
    <w:tbl>
      <w:tblPr>
        <w:tblStyle w:val="8"/>
        <w:tblW w:w="1479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80"/>
        <w:gridCol w:w="1361"/>
        <w:gridCol w:w="1304"/>
        <w:gridCol w:w="2268"/>
        <w:gridCol w:w="2268"/>
        <w:gridCol w:w="1191"/>
        <w:gridCol w:w="2268"/>
        <w:gridCol w:w="2268"/>
        <w:gridCol w:w="119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80"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序号</w:t>
            </w:r>
          </w:p>
        </w:tc>
        <w:tc>
          <w:tcPr>
            <w:tcW w:w="1361"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基准编号</w:t>
            </w:r>
          </w:p>
        </w:tc>
        <w:tc>
          <w:tcPr>
            <w:tcW w:w="1304"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违法行为</w:t>
            </w:r>
          </w:p>
        </w:tc>
        <w:tc>
          <w:tcPr>
            <w:tcW w:w="2268"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违反条款</w:t>
            </w:r>
          </w:p>
        </w:tc>
        <w:tc>
          <w:tcPr>
            <w:tcW w:w="2268"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处罚依据</w:t>
            </w:r>
          </w:p>
        </w:tc>
        <w:tc>
          <w:tcPr>
            <w:tcW w:w="1191"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裁量幅度</w:t>
            </w:r>
          </w:p>
        </w:tc>
        <w:tc>
          <w:tcPr>
            <w:tcW w:w="2268"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违法情节和后果</w:t>
            </w:r>
          </w:p>
        </w:tc>
        <w:tc>
          <w:tcPr>
            <w:tcW w:w="2268"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处罚裁量基准</w:t>
            </w:r>
          </w:p>
        </w:tc>
        <w:tc>
          <w:tcPr>
            <w:tcW w:w="1191"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其他处理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52" w:hRule="atLeast"/>
          <w:jc w:val="center"/>
        </w:trPr>
        <w:tc>
          <w:tcPr>
            <w:tcW w:w="680" w:type="dxa"/>
            <w:vMerge w:val="restart"/>
            <w:tcBorders>
              <w:top w:val="single" w:color="auto" w:sz="4" w:space="0"/>
              <w:left w:val="single" w:color="auto" w:sz="4" w:space="0"/>
              <w:bottom w:val="single" w:color="auto" w:sz="4" w:space="0"/>
              <w:right w:val="single" w:color="auto" w:sz="4" w:space="0"/>
            </w:tcBorders>
            <w:vAlign w:val="center"/>
          </w:tcPr>
          <w:p>
            <w:pPr>
              <w:widowControl/>
              <w:autoSpaceDN w:val="0"/>
              <w:jc w:val="center"/>
              <w:rPr>
                <w:rFonts w:ascii="方正仿宋简体" w:eastAsia="方正仿宋简体" w:cs="方正仿宋简体"/>
                <w:kern w:val="0"/>
                <w:szCs w:val="21"/>
              </w:rPr>
            </w:pPr>
            <w:r>
              <w:rPr>
                <w:rFonts w:hint="eastAsia" w:ascii="方正仿宋简体" w:eastAsia="方正仿宋_GBK" w:cs="方正仿宋简体"/>
                <w:kern w:val="0"/>
                <w:szCs w:val="21"/>
              </w:rPr>
              <w:t>311</w:t>
            </w:r>
          </w:p>
        </w:tc>
        <w:tc>
          <w:tcPr>
            <w:tcW w:w="1361" w:type="dxa"/>
            <w:vMerge w:val="restart"/>
            <w:tcBorders>
              <w:top w:val="single" w:color="auto" w:sz="4" w:space="0"/>
              <w:left w:val="single" w:color="auto" w:sz="4" w:space="0"/>
              <w:bottom w:val="single" w:color="auto" w:sz="4" w:space="0"/>
              <w:right w:val="single" w:color="auto" w:sz="4" w:space="0"/>
            </w:tcBorders>
            <w:vAlign w:val="center"/>
          </w:tcPr>
          <w:p>
            <w:pPr>
              <w:autoSpaceDN w:val="0"/>
              <w:rPr>
                <w:rFonts w:ascii="方正仿宋简体" w:eastAsia="方正仿宋简体" w:cs="方正仿宋简体"/>
                <w:kern w:val="0"/>
                <w:szCs w:val="21"/>
              </w:rPr>
            </w:pPr>
            <w:r>
              <w:rPr>
                <w:rFonts w:hint="eastAsia" w:ascii="方正仿宋简体" w:eastAsia="方正仿宋_GBK" w:cs="方正仿宋简体"/>
                <w:szCs w:val="21"/>
              </w:rPr>
              <w:t>G070105501</w:t>
            </w:r>
          </w:p>
        </w:tc>
        <w:tc>
          <w:tcPr>
            <w:tcW w:w="1304" w:type="dxa"/>
            <w:vMerge w:val="restart"/>
            <w:tcBorders>
              <w:top w:val="single" w:color="auto" w:sz="4" w:space="0"/>
              <w:left w:val="single" w:color="auto" w:sz="4" w:space="0"/>
              <w:bottom w:val="single" w:color="auto" w:sz="4" w:space="0"/>
              <w:right w:val="single" w:color="auto" w:sz="4" w:space="0"/>
            </w:tcBorders>
            <w:vAlign w:val="center"/>
          </w:tcPr>
          <w:p>
            <w:pPr>
              <w:autoSpaceDN w:val="0"/>
              <w:rPr>
                <w:rFonts w:ascii="方正仿宋简体" w:eastAsia="方正仿宋简体" w:cs="方正仿宋简体"/>
                <w:kern w:val="0"/>
                <w:szCs w:val="21"/>
              </w:rPr>
            </w:pPr>
            <w:r>
              <w:rPr>
                <w:rFonts w:hint="eastAsia" w:ascii="方正仿宋简体" w:eastAsia="方正仿宋_GBK" w:cs="方正仿宋简体"/>
                <w:kern w:val="0"/>
                <w:szCs w:val="21"/>
              </w:rPr>
              <w:t>施工总承包单位未按规定开设或者使用农民工工资专用账户的</w:t>
            </w:r>
          </w:p>
        </w:tc>
        <w:tc>
          <w:tcPr>
            <w:tcW w:w="2268" w:type="dxa"/>
            <w:vMerge w:val="restart"/>
            <w:tcBorders>
              <w:top w:val="single" w:color="auto" w:sz="4" w:space="0"/>
              <w:left w:val="single" w:color="auto" w:sz="4" w:space="0"/>
              <w:bottom w:val="single" w:color="auto" w:sz="4" w:space="0"/>
              <w:right w:val="single" w:color="auto" w:sz="4" w:space="0"/>
            </w:tcBorders>
            <w:vAlign w:val="center"/>
          </w:tcPr>
          <w:p>
            <w:pPr>
              <w:widowControl/>
              <w:autoSpaceDN w:val="0"/>
              <w:rPr>
                <w:rFonts w:ascii="方正仿宋简体" w:eastAsia="方正仿宋_GBK" w:cs="方正仿宋简体"/>
                <w:kern w:val="0"/>
                <w:szCs w:val="21"/>
              </w:rPr>
            </w:pPr>
            <w:r>
              <w:rPr>
                <w:rFonts w:hint="eastAsia" w:ascii="方正仿宋简体" w:eastAsia="方正仿宋_GBK" w:cs="方正仿宋简体"/>
                <w:kern w:val="0"/>
                <w:szCs w:val="21"/>
              </w:rPr>
              <w:t>《保障农民工工资支付条例》第二十六条 施工总承包单位应当按照有关规定开设农民工工资专用账户，专项用于支付该工程建设项目农民工工资。</w:t>
            </w:r>
          </w:p>
          <w:p>
            <w:pPr>
              <w:widowControl/>
              <w:autoSpaceDN w:val="0"/>
              <w:rPr>
                <w:rFonts w:ascii="方正仿宋简体" w:eastAsia="方正仿宋简体" w:cs="方正仿宋简体"/>
                <w:kern w:val="0"/>
                <w:szCs w:val="21"/>
              </w:rPr>
            </w:pPr>
            <w:r>
              <w:rPr>
                <w:rFonts w:hint="eastAsia" w:ascii="方正仿宋简体" w:eastAsia="方正仿宋_GBK" w:cs="方正仿宋简体"/>
                <w:kern w:val="0"/>
                <w:szCs w:val="21"/>
              </w:rPr>
              <w:t>开设、使用农民工工资专用账户有关资料应当由施工总承包单位妥善保存备查。</w:t>
            </w:r>
          </w:p>
        </w:tc>
        <w:tc>
          <w:tcPr>
            <w:tcW w:w="2268" w:type="dxa"/>
            <w:vMerge w:val="restart"/>
            <w:tcBorders>
              <w:top w:val="single" w:color="auto" w:sz="4" w:space="0"/>
              <w:left w:val="single" w:color="auto" w:sz="4" w:space="0"/>
              <w:bottom w:val="single" w:color="auto" w:sz="4" w:space="0"/>
              <w:right w:val="single" w:color="auto" w:sz="4" w:space="0"/>
            </w:tcBorders>
            <w:vAlign w:val="center"/>
          </w:tcPr>
          <w:p>
            <w:pPr>
              <w:widowControl/>
              <w:autoSpaceDN w:val="0"/>
              <w:rPr>
                <w:rFonts w:ascii="方正仿宋简体" w:eastAsia="方正仿宋_GBK" w:cs="方正仿宋简体"/>
                <w:kern w:val="0"/>
                <w:szCs w:val="21"/>
              </w:rPr>
            </w:pPr>
            <w:r>
              <w:rPr>
                <w:rFonts w:hint="eastAsia" w:ascii="方正仿宋简体" w:eastAsia="方正仿宋_GBK" w:cs="方正仿宋简体"/>
                <w:kern w:val="0"/>
                <w:szCs w:val="21"/>
              </w:rPr>
              <w:t>《保障农民工工资支付条例》第五十五条 有下列情形之一的，由相关行业工程建设主管部门按照职责责令限期改正；逾期不改正的，责令项目停工，并处5万元以上10万元以下的罚款；情节严重的，给予施工单位限制承接新工程、降低资质等级、吊销资质证书等处罚：</w:t>
            </w:r>
          </w:p>
          <w:p>
            <w:pPr>
              <w:widowControl/>
              <w:autoSpaceDN w:val="0"/>
              <w:rPr>
                <w:rFonts w:ascii="方正仿宋简体" w:eastAsia="方正仿宋简体" w:cs="方正仿宋简体"/>
                <w:kern w:val="0"/>
                <w:szCs w:val="21"/>
              </w:rPr>
            </w:pPr>
            <w:r>
              <w:rPr>
                <w:rFonts w:hint="eastAsia" w:ascii="方正仿宋简体" w:eastAsia="方正仿宋_GBK" w:cs="方正仿宋简体"/>
                <w:kern w:val="0"/>
                <w:szCs w:val="21"/>
              </w:rPr>
              <w:t>（一）施工总承包单位未按规定开设或者使用农民工工资专用账户；</w:t>
            </w:r>
          </w:p>
        </w:tc>
        <w:tc>
          <w:tcPr>
            <w:tcW w:w="1191" w:type="dxa"/>
            <w:tcBorders>
              <w:top w:val="single" w:color="auto" w:sz="4" w:space="0"/>
              <w:left w:val="single" w:color="auto" w:sz="4" w:space="0"/>
              <w:bottom w:val="single" w:color="auto" w:sz="4" w:space="0"/>
              <w:right w:val="single" w:color="auto" w:sz="4" w:space="0"/>
            </w:tcBorders>
            <w:vAlign w:val="center"/>
          </w:tcPr>
          <w:p>
            <w:pPr>
              <w:widowControl/>
              <w:autoSpaceDN w:val="0"/>
              <w:jc w:val="center"/>
              <w:rPr>
                <w:rFonts w:ascii="方正仿宋简体" w:eastAsia="方正仿宋简体" w:cs="方正仿宋简体"/>
                <w:kern w:val="0"/>
                <w:szCs w:val="21"/>
              </w:rPr>
            </w:pPr>
            <w:r>
              <w:rPr>
                <w:rFonts w:hint="eastAsia" w:ascii="方正仿宋简体" w:eastAsia="方正仿宋_GBK" w:cs="方正仿宋简体"/>
                <w:kern w:val="0"/>
                <w:szCs w:val="21"/>
              </w:rPr>
              <w:t>严重</w:t>
            </w:r>
          </w:p>
        </w:tc>
        <w:tc>
          <w:tcPr>
            <w:tcW w:w="2268" w:type="dxa"/>
            <w:tcBorders>
              <w:top w:val="single" w:color="auto" w:sz="4" w:space="0"/>
              <w:left w:val="single" w:color="auto" w:sz="4" w:space="0"/>
              <w:bottom w:val="single" w:color="auto" w:sz="4" w:space="0"/>
              <w:right w:val="single" w:color="auto" w:sz="4" w:space="0"/>
            </w:tcBorders>
            <w:vAlign w:val="center"/>
          </w:tcPr>
          <w:p>
            <w:pPr>
              <w:autoSpaceDN w:val="0"/>
              <w:rPr>
                <w:rFonts w:ascii="方正仿宋简体" w:eastAsia="方正仿宋简体" w:cs="方正仿宋简体"/>
                <w:kern w:val="0"/>
                <w:szCs w:val="21"/>
              </w:rPr>
            </w:pPr>
            <w:r>
              <w:rPr>
                <w:rFonts w:hint="eastAsia" w:ascii="方正仿宋简体" w:eastAsia="方正仿宋_GBK" w:cs="方正仿宋简体"/>
                <w:kern w:val="0"/>
                <w:szCs w:val="21"/>
              </w:rPr>
              <w:t>发生拖欠工资行为，且存在转包、违法分包、挂靠、出借资质等违法行为的</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autoSpaceDN w:val="0"/>
              <w:rPr>
                <w:rFonts w:ascii="方正仿宋简体" w:eastAsia="方正仿宋简体" w:cs="方正仿宋简体"/>
                <w:kern w:val="0"/>
                <w:szCs w:val="21"/>
              </w:rPr>
            </w:pPr>
            <w:r>
              <w:rPr>
                <w:rFonts w:hint="eastAsia" w:ascii="方正仿宋简体" w:eastAsia="方正仿宋_GBK" w:cs="方正仿宋简体"/>
                <w:kern w:val="0"/>
                <w:szCs w:val="21"/>
              </w:rPr>
              <w:t>降低资质等级</w:t>
            </w:r>
          </w:p>
        </w:tc>
        <w:tc>
          <w:tcPr>
            <w:tcW w:w="1191" w:type="dxa"/>
            <w:vMerge w:val="restart"/>
            <w:tcBorders>
              <w:top w:val="single" w:color="auto" w:sz="4" w:space="0"/>
              <w:left w:val="single" w:color="auto" w:sz="4" w:space="0"/>
              <w:bottom w:val="single" w:color="auto" w:sz="4" w:space="0"/>
              <w:right w:val="single" w:color="auto" w:sz="4" w:space="0"/>
            </w:tcBorders>
            <w:vAlign w:val="center"/>
          </w:tcPr>
          <w:p>
            <w:pPr>
              <w:widowControl/>
              <w:autoSpaceDN w:val="0"/>
              <w:rPr>
                <w:rFonts w:eastAsia="仿宋_GB2312"/>
                <w:kern w:val="0"/>
                <w:szCs w:val="21"/>
              </w:rPr>
            </w:pPr>
            <w:r>
              <w:rPr>
                <w:rFonts w:hint="eastAsia" w:ascii="方正仿宋简体" w:eastAsia="方正仿宋_GBK" w:cs="方正仿宋简体"/>
                <w:kern w:val="0"/>
                <w:szCs w:val="21"/>
              </w:rPr>
              <w:t>按照《&lt;保障农民工工资支付条例&gt;法律责任条款行政执法指引》执行，降低资质等级、吊销资质证书的处罚由颁发相应资质证书的主管部门实施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52" w:hRule="atLeast"/>
          <w:jc w:val="center"/>
        </w:trPr>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3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191" w:type="dxa"/>
            <w:tcBorders>
              <w:top w:val="single" w:color="auto" w:sz="4" w:space="0"/>
              <w:left w:val="single" w:color="auto" w:sz="4" w:space="0"/>
              <w:bottom w:val="single" w:color="auto" w:sz="4" w:space="0"/>
              <w:right w:val="single" w:color="auto" w:sz="4" w:space="0"/>
            </w:tcBorders>
            <w:vAlign w:val="center"/>
          </w:tcPr>
          <w:p>
            <w:pPr>
              <w:widowControl/>
              <w:autoSpaceDN w:val="0"/>
              <w:jc w:val="center"/>
              <w:rPr>
                <w:rFonts w:ascii="方正仿宋简体" w:eastAsia="方正仿宋简体" w:cs="方正仿宋简体"/>
                <w:kern w:val="0"/>
                <w:szCs w:val="21"/>
              </w:rPr>
            </w:pPr>
            <w:r>
              <w:rPr>
                <w:rFonts w:hint="eastAsia" w:ascii="方正仿宋简体" w:eastAsia="方正仿宋简体" w:cs="方正仿宋简体"/>
                <w:szCs w:val="21"/>
              </w:rPr>
              <w:t>特别严重</w:t>
            </w:r>
          </w:p>
        </w:tc>
        <w:tc>
          <w:tcPr>
            <w:tcW w:w="2268" w:type="dxa"/>
            <w:tcBorders>
              <w:top w:val="single" w:color="auto" w:sz="4" w:space="0"/>
              <w:left w:val="single" w:color="auto" w:sz="4" w:space="0"/>
              <w:bottom w:val="single" w:color="auto" w:sz="4" w:space="0"/>
              <w:right w:val="single" w:color="auto" w:sz="4" w:space="0"/>
            </w:tcBorders>
            <w:vAlign w:val="center"/>
          </w:tcPr>
          <w:p>
            <w:pPr>
              <w:autoSpaceDN w:val="0"/>
              <w:rPr>
                <w:rFonts w:ascii="方正仿宋简体" w:eastAsia="方正仿宋简体" w:cs="方正仿宋简体"/>
                <w:kern w:val="0"/>
                <w:szCs w:val="21"/>
              </w:rPr>
            </w:pPr>
            <w:r>
              <w:rPr>
                <w:rFonts w:hint="eastAsia" w:ascii="方正仿宋简体" w:eastAsia="方正仿宋_GBK" w:cs="方正仿宋简体"/>
                <w:kern w:val="0"/>
                <w:szCs w:val="21"/>
              </w:rPr>
              <w:t>发生拖欠工资行为，且2年内发生2次及以上转包、违法分包、挂靠、出借资质等违法行为或因转包、违法分包、挂靠、出借资质等违法行为导致发生质量安全事故的；构成拒不支付劳动报酬罪的；造成严重社会影响的</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autoSpaceDN w:val="0"/>
              <w:rPr>
                <w:rFonts w:ascii="方正仿宋简体" w:eastAsia="方正仿宋简体" w:cs="方正仿宋简体"/>
                <w:kern w:val="0"/>
                <w:szCs w:val="21"/>
              </w:rPr>
            </w:pPr>
            <w:r>
              <w:rPr>
                <w:rFonts w:hint="eastAsia" w:ascii="方正仿宋简体" w:eastAsia="方正仿宋_GBK" w:cs="方正仿宋简体"/>
                <w:kern w:val="0"/>
                <w:szCs w:val="21"/>
              </w:rPr>
              <w:t>吊销资质证书</w:t>
            </w:r>
          </w:p>
        </w:tc>
        <w:tc>
          <w:tcPr>
            <w:tcW w:w="11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Cs w:val="21"/>
              </w:rPr>
            </w:pPr>
          </w:p>
        </w:tc>
      </w:tr>
    </w:tbl>
    <w:p>
      <w:pPr>
        <w:tabs>
          <w:tab w:val="left" w:pos="13230"/>
        </w:tabs>
        <w:autoSpaceDN w:val="0"/>
        <w:jc w:val="left"/>
        <w:rPr>
          <w:rFonts w:ascii="方正黑体_GBK" w:eastAsia="方正黑体_GBK" w:cs="方正黑体_GBK"/>
          <w:sz w:val="32"/>
          <w:szCs w:val="32"/>
        </w:rPr>
      </w:pPr>
      <w:r>
        <w:rPr>
          <w:rFonts w:hint="eastAsia" w:ascii="方正黑体_GBK" w:eastAsia="方正黑体_GBK" w:cs="方正黑体_GBK"/>
          <w:sz w:val="32"/>
          <w:szCs w:val="32"/>
        </w:rPr>
        <w:br w:type="page"/>
      </w:r>
      <w:r>
        <w:rPr>
          <w:rFonts w:hint="eastAsia" w:ascii="方正黑体_GBK" w:eastAsia="方正黑体_GBK" w:cs="方正黑体_GBK"/>
          <w:sz w:val="32"/>
          <w:szCs w:val="32"/>
        </w:rPr>
        <w:t>《保障农民工工资支付条例》</w:t>
      </w:r>
    </w:p>
    <w:tbl>
      <w:tblPr>
        <w:tblStyle w:val="8"/>
        <w:tblW w:w="1479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80"/>
        <w:gridCol w:w="1361"/>
        <w:gridCol w:w="1304"/>
        <w:gridCol w:w="2268"/>
        <w:gridCol w:w="2268"/>
        <w:gridCol w:w="1191"/>
        <w:gridCol w:w="2268"/>
        <w:gridCol w:w="2268"/>
        <w:gridCol w:w="119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80"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序号</w:t>
            </w:r>
          </w:p>
        </w:tc>
        <w:tc>
          <w:tcPr>
            <w:tcW w:w="1361"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基准编号</w:t>
            </w:r>
          </w:p>
        </w:tc>
        <w:tc>
          <w:tcPr>
            <w:tcW w:w="1304"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违法行为</w:t>
            </w:r>
          </w:p>
        </w:tc>
        <w:tc>
          <w:tcPr>
            <w:tcW w:w="2268"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违反条款</w:t>
            </w:r>
          </w:p>
        </w:tc>
        <w:tc>
          <w:tcPr>
            <w:tcW w:w="2268"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处罚依据</w:t>
            </w:r>
          </w:p>
        </w:tc>
        <w:tc>
          <w:tcPr>
            <w:tcW w:w="1191"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裁量幅度</w:t>
            </w:r>
          </w:p>
        </w:tc>
        <w:tc>
          <w:tcPr>
            <w:tcW w:w="2268"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违法情节和后果</w:t>
            </w:r>
          </w:p>
        </w:tc>
        <w:tc>
          <w:tcPr>
            <w:tcW w:w="2268"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处罚裁量基准</w:t>
            </w:r>
          </w:p>
        </w:tc>
        <w:tc>
          <w:tcPr>
            <w:tcW w:w="1191"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其他处理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52" w:hRule="atLeast"/>
          <w:jc w:val="center"/>
        </w:trPr>
        <w:tc>
          <w:tcPr>
            <w:tcW w:w="680" w:type="dxa"/>
            <w:vMerge w:val="restart"/>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kern w:val="0"/>
                <w:szCs w:val="21"/>
              </w:rPr>
            </w:pPr>
            <w:r>
              <w:rPr>
                <w:rFonts w:hint="eastAsia" w:ascii="方正仿宋简体" w:eastAsia="方正仿宋_GBK" w:cs="方正仿宋简体"/>
                <w:kern w:val="0"/>
                <w:szCs w:val="21"/>
              </w:rPr>
              <w:t>312</w:t>
            </w:r>
          </w:p>
        </w:tc>
        <w:tc>
          <w:tcPr>
            <w:tcW w:w="1361" w:type="dxa"/>
            <w:vMerge w:val="restart"/>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kern w:val="0"/>
                <w:szCs w:val="21"/>
              </w:rPr>
            </w:pPr>
            <w:r>
              <w:rPr>
                <w:rFonts w:hint="eastAsia" w:ascii="方正仿宋简体" w:eastAsia="方正仿宋_GBK" w:cs="方正仿宋简体"/>
                <w:szCs w:val="21"/>
              </w:rPr>
              <w:t>G070105502</w:t>
            </w:r>
          </w:p>
        </w:tc>
        <w:tc>
          <w:tcPr>
            <w:tcW w:w="1304" w:type="dxa"/>
            <w:vMerge w:val="restart"/>
            <w:tcBorders>
              <w:top w:val="single" w:color="auto" w:sz="4" w:space="0"/>
              <w:left w:val="single" w:color="auto" w:sz="4" w:space="0"/>
              <w:bottom w:val="single" w:color="auto" w:sz="4" w:space="0"/>
              <w:right w:val="single" w:color="auto" w:sz="4" w:space="0"/>
            </w:tcBorders>
            <w:vAlign w:val="center"/>
          </w:tcPr>
          <w:p>
            <w:pPr>
              <w:autoSpaceDN w:val="0"/>
              <w:rPr>
                <w:rFonts w:ascii="方正仿宋简体" w:eastAsia="方正仿宋简体" w:cs="方正仿宋简体"/>
                <w:kern w:val="0"/>
                <w:szCs w:val="21"/>
              </w:rPr>
            </w:pPr>
            <w:r>
              <w:rPr>
                <w:rFonts w:hint="eastAsia" w:ascii="方正仿宋简体" w:eastAsia="方正仿宋_GBK" w:cs="方正仿宋简体"/>
                <w:kern w:val="0"/>
                <w:szCs w:val="21"/>
              </w:rPr>
              <w:t>施工总承包单位未按规定存储工资保证金或者未提供金融机构保函的</w:t>
            </w:r>
          </w:p>
        </w:tc>
        <w:tc>
          <w:tcPr>
            <w:tcW w:w="2268" w:type="dxa"/>
            <w:vMerge w:val="restart"/>
            <w:tcBorders>
              <w:top w:val="single" w:color="auto" w:sz="4" w:space="0"/>
              <w:left w:val="single" w:color="auto" w:sz="4" w:space="0"/>
              <w:bottom w:val="single" w:color="auto" w:sz="4" w:space="0"/>
              <w:right w:val="single" w:color="auto" w:sz="4" w:space="0"/>
            </w:tcBorders>
            <w:vAlign w:val="center"/>
          </w:tcPr>
          <w:p>
            <w:pPr>
              <w:autoSpaceDN w:val="0"/>
              <w:rPr>
                <w:rFonts w:ascii="方正仿宋简体" w:eastAsia="方正仿宋_GBK" w:cs="方正仿宋简体"/>
                <w:kern w:val="0"/>
                <w:szCs w:val="21"/>
              </w:rPr>
            </w:pPr>
            <w:r>
              <w:rPr>
                <w:rFonts w:hint="eastAsia" w:ascii="方正仿宋简体" w:eastAsia="方正仿宋_GBK" w:cs="方正仿宋简体"/>
                <w:kern w:val="0"/>
                <w:szCs w:val="21"/>
              </w:rPr>
              <w:t>《保障农民工工资支付条例》第三十二条 施工总承包单位应当按照有关规定存储工资保证金，专项用于支付为所承包工程提供劳动的农民工被拖欠的工资。</w:t>
            </w:r>
          </w:p>
          <w:p>
            <w:pPr>
              <w:autoSpaceDN w:val="0"/>
              <w:rPr>
                <w:rFonts w:ascii="方正仿宋简体" w:eastAsia="方正仿宋_GBK" w:cs="方正仿宋简体"/>
                <w:kern w:val="0"/>
                <w:szCs w:val="21"/>
              </w:rPr>
            </w:pPr>
            <w:r>
              <w:rPr>
                <w:rFonts w:hint="eastAsia" w:ascii="方正仿宋简体" w:eastAsia="方正仿宋_GBK" w:cs="方正仿宋简体"/>
                <w:kern w:val="0"/>
                <w:szCs w:val="21"/>
              </w:rPr>
              <w:t>工资保证金实行差异化存储办法，对一定时期内未发生工资拖欠的单位实行减免措施，对发生工资拖欠的单位适当提高存储比例。工资保证金可以用金融机构保函替代。</w:t>
            </w:r>
          </w:p>
          <w:p>
            <w:pPr>
              <w:autoSpaceDN w:val="0"/>
              <w:rPr>
                <w:rFonts w:ascii="方正仿宋简体" w:eastAsia="方正仿宋简体" w:cs="方正仿宋简体"/>
                <w:kern w:val="0"/>
                <w:szCs w:val="21"/>
              </w:rPr>
            </w:pPr>
            <w:r>
              <w:rPr>
                <w:rFonts w:hint="eastAsia" w:ascii="方正仿宋简体" w:eastAsia="方正仿宋_GBK" w:cs="方正仿宋简体"/>
                <w:kern w:val="0"/>
                <w:szCs w:val="21"/>
              </w:rPr>
              <w:t>工资保证金的存储比例、存储形式、减免措施等具体办法，由国务院人力资源社会保障行政部门会同有关部门制定。</w:t>
            </w:r>
          </w:p>
        </w:tc>
        <w:tc>
          <w:tcPr>
            <w:tcW w:w="2268" w:type="dxa"/>
            <w:vMerge w:val="restart"/>
            <w:tcBorders>
              <w:top w:val="single" w:color="auto" w:sz="4" w:space="0"/>
              <w:left w:val="single" w:color="auto" w:sz="4" w:space="0"/>
              <w:bottom w:val="single" w:color="auto" w:sz="4" w:space="0"/>
              <w:right w:val="single" w:color="auto" w:sz="4" w:space="0"/>
            </w:tcBorders>
            <w:vAlign w:val="center"/>
          </w:tcPr>
          <w:p>
            <w:pPr>
              <w:autoSpaceDN w:val="0"/>
              <w:rPr>
                <w:rFonts w:ascii="方正仿宋简体" w:eastAsia="方正仿宋_GBK" w:cs="方正仿宋简体"/>
                <w:kern w:val="0"/>
                <w:szCs w:val="21"/>
              </w:rPr>
            </w:pPr>
            <w:r>
              <w:rPr>
                <w:rFonts w:hint="eastAsia" w:ascii="方正仿宋简体" w:eastAsia="方正仿宋_GBK" w:cs="方正仿宋简体"/>
                <w:kern w:val="0"/>
                <w:szCs w:val="21"/>
              </w:rPr>
              <w:t>《保障农民工工资支付条例》第五十五条 有下列情形之一的，由相关行业工程建设主管部门按照职责责令限期改正；逾期不改正的，责令项目停工，并处5万元以上10万元以下的罚款；情节严重的，给予施工单位限制承接新工程、降低资质等级、吊销资质证书等处罚：</w:t>
            </w:r>
          </w:p>
          <w:p>
            <w:pPr>
              <w:autoSpaceDN w:val="0"/>
              <w:rPr>
                <w:rFonts w:ascii="方正仿宋简体" w:eastAsia="方正仿宋简体" w:cs="方正仿宋简体"/>
                <w:kern w:val="0"/>
                <w:szCs w:val="21"/>
              </w:rPr>
            </w:pPr>
            <w:r>
              <w:rPr>
                <w:rFonts w:hint="eastAsia" w:ascii="方正仿宋简体" w:eastAsia="方正仿宋_GBK" w:cs="方正仿宋简体"/>
                <w:kern w:val="0"/>
                <w:szCs w:val="21"/>
              </w:rPr>
              <w:t>（二）施工总承包单位未按规定存储工资保证金或者未提供金融机构保函；</w:t>
            </w:r>
          </w:p>
        </w:tc>
        <w:tc>
          <w:tcPr>
            <w:tcW w:w="1191"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kern w:val="0"/>
                <w:szCs w:val="21"/>
              </w:rPr>
            </w:pPr>
            <w:r>
              <w:rPr>
                <w:rFonts w:hint="eastAsia" w:ascii="方正仿宋简体" w:eastAsia="方正仿宋_GBK" w:cs="方正仿宋简体"/>
                <w:kern w:val="0"/>
                <w:szCs w:val="21"/>
              </w:rPr>
              <w:t>严重</w:t>
            </w:r>
          </w:p>
        </w:tc>
        <w:tc>
          <w:tcPr>
            <w:tcW w:w="2268" w:type="dxa"/>
            <w:tcBorders>
              <w:top w:val="single" w:color="auto" w:sz="4" w:space="0"/>
              <w:left w:val="single" w:color="auto" w:sz="4" w:space="0"/>
              <w:bottom w:val="single" w:color="auto" w:sz="4" w:space="0"/>
              <w:right w:val="single" w:color="auto" w:sz="4" w:space="0"/>
            </w:tcBorders>
            <w:vAlign w:val="center"/>
          </w:tcPr>
          <w:p>
            <w:pPr>
              <w:autoSpaceDN w:val="0"/>
              <w:rPr>
                <w:rFonts w:ascii="方正仿宋简体" w:eastAsia="方正仿宋简体" w:cs="方正仿宋简体"/>
                <w:kern w:val="0"/>
                <w:szCs w:val="21"/>
              </w:rPr>
            </w:pPr>
            <w:r>
              <w:rPr>
                <w:rFonts w:hint="eastAsia" w:ascii="方正仿宋简体" w:eastAsia="方正仿宋_GBK" w:cs="方正仿宋简体"/>
                <w:kern w:val="0"/>
                <w:szCs w:val="21"/>
              </w:rPr>
              <w:t>发生拖欠工资行为，且存在转包、违法分包、挂靠、出借资质等违法行为的</w:t>
            </w:r>
          </w:p>
        </w:tc>
        <w:tc>
          <w:tcPr>
            <w:tcW w:w="2268" w:type="dxa"/>
            <w:tcBorders>
              <w:top w:val="single" w:color="auto" w:sz="4" w:space="0"/>
              <w:left w:val="single" w:color="auto" w:sz="4" w:space="0"/>
              <w:bottom w:val="single" w:color="auto" w:sz="4" w:space="0"/>
              <w:right w:val="single" w:color="auto" w:sz="4" w:space="0"/>
            </w:tcBorders>
            <w:vAlign w:val="center"/>
          </w:tcPr>
          <w:p>
            <w:pPr>
              <w:autoSpaceDN w:val="0"/>
              <w:rPr>
                <w:rFonts w:ascii="方正仿宋简体" w:eastAsia="方正仿宋简体" w:cs="方正仿宋简体"/>
                <w:kern w:val="0"/>
                <w:szCs w:val="21"/>
              </w:rPr>
            </w:pPr>
            <w:r>
              <w:rPr>
                <w:rFonts w:hint="eastAsia" w:ascii="方正仿宋简体" w:eastAsia="方正仿宋_GBK" w:cs="方正仿宋简体"/>
                <w:kern w:val="0"/>
                <w:szCs w:val="21"/>
              </w:rPr>
              <w:t>降低资质等级</w:t>
            </w:r>
          </w:p>
        </w:tc>
        <w:tc>
          <w:tcPr>
            <w:tcW w:w="1191" w:type="dxa"/>
            <w:vMerge w:val="restart"/>
            <w:tcBorders>
              <w:top w:val="single" w:color="auto" w:sz="4" w:space="0"/>
              <w:left w:val="single" w:color="auto" w:sz="4" w:space="0"/>
              <w:bottom w:val="single" w:color="auto" w:sz="4" w:space="0"/>
              <w:right w:val="single" w:color="auto" w:sz="4" w:space="0"/>
            </w:tcBorders>
            <w:vAlign w:val="center"/>
          </w:tcPr>
          <w:p>
            <w:pPr>
              <w:autoSpaceDN w:val="0"/>
              <w:rPr>
                <w:rFonts w:eastAsia="仿宋_GB2312"/>
                <w:kern w:val="0"/>
                <w:szCs w:val="21"/>
              </w:rPr>
            </w:pPr>
            <w:r>
              <w:rPr>
                <w:rFonts w:hint="eastAsia" w:ascii="方正仿宋简体" w:eastAsia="方正仿宋_GBK" w:cs="方正仿宋简体"/>
                <w:kern w:val="0"/>
                <w:szCs w:val="21"/>
              </w:rPr>
              <w:t>按照《&lt;保障农民工工资支付条例&gt;法律责任条款行政执法指引》执行，降低资质等级、吊销资质证书的处罚由颁发相应资质证书的主管部门实施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52" w:hRule="atLeast"/>
          <w:jc w:val="center"/>
        </w:trPr>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3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191"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kern w:val="0"/>
                <w:szCs w:val="21"/>
              </w:rPr>
            </w:pPr>
            <w:r>
              <w:rPr>
                <w:rFonts w:hint="eastAsia" w:ascii="方正仿宋简体" w:eastAsia="方正仿宋简体" w:cs="方正仿宋简体"/>
                <w:szCs w:val="21"/>
              </w:rPr>
              <w:t>特别严重</w:t>
            </w:r>
          </w:p>
        </w:tc>
        <w:tc>
          <w:tcPr>
            <w:tcW w:w="2268" w:type="dxa"/>
            <w:tcBorders>
              <w:top w:val="single" w:color="auto" w:sz="4" w:space="0"/>
              <w:left w:val="single" w:color="auto" w:sz="4" w:space="0"/>
              <w:bottom w:val="single" w:color="auto" w:sz="4" w:space="0"/>
              <w:right w:val="single" w:color="auto" w:sz="4" w:space="0"/>
            </w:tcBorders>
            <w:vAlign w:val="center"/>
          </w:tcPr>
          <w:p>
            <w:pPr>
              <w:autoSpaceDN w:val="0"/>
              <w:rPr>
                <w:rFonts w:ascii="方正仿宋简体" w:eastAsia="方正仿宋简体" w:cs="方正仿宋简体"/>
                <w:kern w:val="0"/>
                <w:szCs w:val="21"/>
              </w:rPr>
            </w:pPr>
            <w:r>
              <w:rPr>
                <w:rFonts w:hint="eastAsia" w:ascii="方正仿宋简体" w:eastAsia="方正仿宋_GBK" w:cs="方正仿宋简体"/>
                <w:kern w:val="0"/>
                <w:szCs w:val="21"/>
              </w:rPr>
              <w:t>发生拖欠工资行为，且2年内发生2次及以上转包、违法分包、挂靠、出借资质等违法行为或因转包、违法分包、挂靠、出借资质等违法行为导致发生质量安全事故的；构成拒不支付劳动报酬罪的；造成严重社会影响的</w:t>
            </w:r>
          </w:p>
        </w:tc>
        <w:tc>
          <w:tcPr>
            <w:tcW w:w="2268" w:type="dxa"/>
            <w:tcBorders>
              <w:top w:val="single" w:color="auto" w:sz="4" w:space="0"/>
              <w:left w:val="single" w:color="auto" w:sz="4" w:space="0"/>
              <w:bottom w:val="single" w:color="auto" w:sz="4" w:space="0"/>
              <w:right w:val="single" w:color="auto" w:sz="4" w:space="0"/>
            </w:tcBorders>
            <w:vAlign w:val="center"/>
          </w:tcPr>
          <w:p>
            <w:pPr>
              <w:autoSpaceDN w:val="0"/>
              <w:rPr>
                <w:rFonts w:ascii="方正仿宋简体" w:eastAsia="方正仿宋简体" w:cs="方正仿宋简体"/>
                <w:kern w:val="0"/>
                <w:szCs w:val="21"/>
              </w:rPr>
            </w:pPr>
            <w:r>
              <w:rPr>
                <w:rFonts w:hint="eastAsia" w:ascii="方正仿宋简体" w:eastAsia="方正仿宋_GBK" w:cs="方正仿宋简体"/>
                <w:kern w:val="0"/>
                <w:szCs w:val="21"/>
              </w:rPr>
              <w:t>吊销资质证书</w:t>
            </w:r>
          </w:p>
        </w:tc>
        <w:tc>
          <w:tcPr>
            <w:tcW w:w="11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Cs w:val="21"/>
              </w:rPr>
            </w:pPr>
          </w:p>
        </w:tc>
      </w:tr>
    </w:tbl>
    <w:p>
      <w:pPr>
        <w:tabs>
          <w:tab w:val="left" w:pos="13230"/>
        </w:tabs>
        <w:autoSpaceDN w:val="0"/>
        <w:jc w:val="left"/>
        <w:rPr>
          <w:rFonts w:ascii="微软雅黑" w:hAnsi="微软雅黑" w:eastAsia="微软雅黑" w:cs="微软雅黑"/>
          <w:sz w:val="32"/>
          <w:szCs w:val="32"/>
        </w:rPr>
      </w:pPr>
      <w:r>
        <w:rPr>
          <w:rFonts w:hint="eastAsia" w:ascii="方正黑体_GBK" w:eastAsia="方正黑体_GBK" w:cs="方正黑体_GBK"/>
          <w:sz w:val="32"/>
          <w:szCs w:val="32"/>
        </w:rPr>
        <w:br w:type="page"/>
      </w:r>
      <w:r>
        <w:rPr>
          <w:rFonts w:hint="eastAsia" w:ascii="方正黑体_GBK" w:eastAsia="方正黑体_GBK" w:cs="方正黑体_GBK"/>
          <w:sz w:val="32"/>
          <w:szCs w:val="32"/>
        </w:rPr>
        <w:t>《保障农民工工资支付条例》</w:t>
      </w:r>
    </w:p>
    <w:tbl>
      <w:tblPr>
        <w:tblStyle w:val="8"/>
        <w:tblW w:w="1468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80"/>
        <w:gridCol w:w="1361"/>
        <w:gridCol w:w="1132"/>
        <w:gridCol w:w="3345"/>
        <w:gridCol w:w="1698"/>
        <w:gridCol w:w="1191"/>
        <w:gridCol w:w="2154"/>
        <w:gridCol w:w="1928"/>
        <w:gridCol w:w="119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80"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序号</w:t>
            </w:r>
          </w:p>
        </w:tc>
        <w:tc>
          <w:tcPr>
            <w:tcW w:w="1361"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基准编号</w:t>
            </w:r>
          </w:p>
        </w:tc>
        <w:tc>
          <w:tcPr>
            <w:tcW w:w="1132"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违法行为</w:t>
            </w:r>
          </w:p>
        </w:tc>
        <w:tc>
          <w:tcPr>
            <w:tcW w:w="3345"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违反条款</w:t>
            </w:r>
          </w:p>
        </w:tc>
        <w:tc>
          <w:tcPr>
            <w:tcW w:w="1698"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处罚依据</w:t>
            </w:r>
          </w:p>
        </w:tc>
        <w:tc>
          <w:tcPr>
            <w:tcW w:w="1191"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裁量幅度</w:t>
            </w:r>
          </w:p>
        </w:tc>
        <w:tc>
          <w:tcPr>
            <w:tcW w:w="2154"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违法情节和后果</w:t>
            </w:r>
          </w:p>
        </w:tc>
        <w:tc>
          <w:tcPr>
            <w:tcW w:w="1928"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处罚裁量基准</w:t>
            </w:r>
          </w:p>
        </w:tc>
        <w:tc>
          <w:tcPr>
            <w:tcW w:w="1191"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其他处理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87" w:hRule="atLeast"/>
          <w:jc w:val="center"/>
        </w:trPr>
        <w:tc>
          <w:tcPr>
            <w:tcW w:w="680" w:type="dxa"/>
            <w:vMerge w:val="restart"/>
            <w:tcBorders>
              <w:top w:val="single" w:color="auto" w:sz="4" w:space="0"/>
              <w:left w:val="single" w:color="auto" w:sz="4" w:space="0"/>
              <w:bottom w:val="single" w:color="auto" w:sz="4" w:space="0"/>
              <w:right w:val="single" w:color="auto" w:sz="4" w:space="0"/>
            </w:tcBorders>
            <w:vAlign w:val="center"/>
          </w:tcPr>
          <w:p>
            <w:pPr>
              <w:widowControl/>
              <w:autoSpaceDN w:val="0"/>
              <w:jc w:val="center"/>
              <w:rPr>
                <w:rFonts w:ascii="方正仿宋简体" w:eastAsia="方正仿宋简体" w:cs="方正仿宋简体"/>
                <w:kern w:val="0"/>
                <w:szCs w:val="21"/>
              </w:rPr>
            </w:pPr>
            <w:r>
              <w:rPr>
                <w:rFonts w:hint="eastAsia" w:ascii="方正仿宋简体" w:eastAsia="方正仿宋_GBK" w:cs="方正仿宋简体"/>
                <w:kern w:val="0"/>
                <w:szCs w:val="21"/>
              </w:rPr>
              <w:t>313</w:t>
            </w:r>
          </w:p>
        </w:tc>
        <w:tc>
          <w:tcPr>
            <w:tcW w:w="1361" w:type="dxa"/>
            <w:vMerge w:val="restart"/>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kern w:val="0"/>
                <w:szCs w:val="21"/>
              </w:rPr>
            </w:pPr>
            <w:r>
              <w:rPr>
                <w:rFonts w:hint="eastAsia" w:ascii="方正仿宋简体" w:eastAsia="方正仿宋_GBK" w:cs="方正仿宋简体"/>
                <w:szCs w:val="21"/>
              </w:rPr>
              <w:t>G070105503</w:t>
            </w:r>
          </w:p>
        </w:tc>
        <w:tc>
          <w:tcPr>
            <w:tcW w:w="1132" w:type="dxa"/>
            <w:vMerge w:val="restart"/>
            <w:tcBorders>
              <w:top w:val="single" w:color="auto" w:sz="4" w:space="0"/>
              <w:left w:val="single" w:color="auto" w:sz="4" w:space="0"/>
              <w:bottom w:val="single" w:color="auto" w:sz="4" w:space="0"/>
              <w:right w:val="single" w:color="auto" w:sz="4" w:space="0"/>
            </w:tcBorders>
            <w:vAlign w:val="center"/>
          </w:tcPr>
          <w:p>
            <w:pPr>
              <w:autoSpaceDN w:val="0"/>
              <w:rPr>
                <w:rFonts w:ascii="方正仿宋简体" w:eastAsia="方正仿宋简体" w:cs="方正仿宋简体"/>
                <w:kern w:val="0"/>
                <w:szCs w:val="21"/>
              </w:rPr>
            </w:pPr>
            <w:r>
              <w:rPr>
                <w:rFonts w:hint="eastAsia" w:ascii="方正仿宋简体" w:eastAsia="方正仿宋_GBK" w:cs="方正仿宋简体"/>
                <w:kern w:val="0"/>
                <w:szCs w:val="21"/>
              </w:rPr>
              <w:t>施工总承包单位、分包单位未实行劳动用工实名制管理的</w:t>
            </w:r>
          </w:p>
        </w:tc>
        <w:tc>
          <w:tcPr>
            <w:tcW w:w="3345" w:type="dxa"/>
            <w:vMerge w:val="restart"/>
            <w:tcBorders>
              <w:top w:val="single" w:color="auto" w:sz="4" w:space="0"/>
              <w:left w:val="single" w:color="auto" w:sz="4" w:space="0"/>
              <w:bottom w:val="single" w:color="auto" w:sz="4" w:space="0"/>
              <w:right w:val="single" w:color="auto" w:sz="4" w:space="0"/>
            </w:tcBorders>
            <w:vAlign w:val="center"/>
          </w:tcPr>
          <w:p>
            <w:pPr>
              <w:widowControl/>
              <w:autoSpaceDN w:val="0"/>
              <w:rPr>
                <w:rFonts w:ascii="方正仿宋简体" w:eastAsia="方正仿宋_GBK" w:cs="方正仿宋简体"/>
                <w:kern w:val="0"/>
                <w:sz w:val="20"/>
              </w:rPr>
            </w:pPr>
            <w:r>
              <w:rPr>
                <w:rFonts w:hint="eastAsia" w:ascii="方正仿宋简体" w:eastAsia="方正仿宋_GBK" w:cs="方正仿宋简体"/>
                <w:kern w:val="0"/>
                <w:sz w:val="20"/>
              </w:rPr>
              <w:t>《保障农民工工资支付条例》第二十八条 施工总承包单位或者分包单位应当依法与所招用的农民工订立劳动合同并进行用工实名登记，具备条件的行业应当通过相应的管理服务信息平台进行用工实名登记、管理。未与施工总承包单位或者分包单位订立劳动合同并进行用工实名登记的人员，不得进入项目现场施工。</w:t>
            </w:r>
          </w:p>
          <w:p>
            <w:pPr>
              <w:widowControl/>
              <w:autoSpaceDN w:val="0"/>
              <w:rPr>
                <w:rFonts w:ascii="方正仿宋简体" w:eastAsia="方正仿宋_GBK" w:cs="方正仿宋简体"/>
                <w:kern w:val="0"/>
                <w:sz w:val="20"/>
              </w:rPr>
            </w:pPr>
            <w:r>
              <w:rPr>
                <w:rFonts w:hint="eastAsia" w:ascii="方正仿宋简体" w:eastAsia="方正仿宋_GBK" w:cs="方正仿宋简体"/>
                <w:kern w:val="0"/>
                <w:sz w:val="20"/>
              </w:rPr>
              <w:t>施工总承包单位应当在工程项目部配备劳资专管员，对分包单位劳动用工实施监督管理，掌握施工现场用工、考勤、工资支付等情况，审核分包单位编制的农民工工资支付表，分包单位应当予以配合。</w:t>
            </w:r>
          </w:p>
          <w:p>
            <w:pPr>
              <w:widowControl/>
              <w:autoSpaceDN w:val="0"/>
              <w:rPr>
                <w:rFonts w:ascii="方正仿宋简体" w:eastAsia="方正仿宋_GBK" w:cs="方正仿宋简体"/>
                <w:kern w:val="0"/>
                <w:sz w:val="20"/>
              </w:rPr>
            </w:pPr>
            <w:r>
              <w:rPr>
                <w:rFonts w:hint="eastAsia" w:ascii="方正仿宋简体" w:eastAsia="方正仿宋_GBK" w:cs="方正仿宋简体"/>
                <w:kern w:val="0"/>
                <w:sz w:val="20"/>
              </w:rPr>
              <w:t>施工总承包单位、分包单位应当建立用工管理台账，并保存至工程完工且工资全部结清后至少3年。</w:t>
            </w:r>
          </w:p>
          <w:p>
            <w:pPr>
              <w:widowControl/>
              <w:autoSpaceDN w:val="0"/>
              <w:rPr>
                <w:rFonts w:ascii="方正仿宋简体" w:eastAsia="方正仿宋_GBK" w:cs="方正仿宋简体"/>
                <w:kern w:val="0"/>
                <w:sz w:val="20"/>
              </w:rPr>
            </w:pPr>
            <w:r>
              <w:rPr>
                <w:rFonts w:hint="eastAsia" w:ascii="方正仿宋简体" w:eastAsia="方正仿宋_GBK" w:cs="方正仿宋简体"/>
                <w:kern w:val="0"/>
                <w:sz w:val="20"/>
              </w:rPr>
              <w:t>第三十条 分包单位对所招用农民工的实名制管理和工资支付负直接责任。</w:t>
            </w:r>
          </w:p>
          <w:p>
            <w:pPr>
              <w:widowControl/>
              <w:autoSpaceDN w:val="0"/>
              <w:rPr>
                <w:rFonts w:ascii="方正仿宋简体" w:eastAsia="方正仿宋_GBK" w:cs="方正仿宋简体"/>
                <w:kern w:val="0"/>
                <w:sz w:val="20"/>
              </w:rPr>
            </w:pPr>
            <w:r>
              <w:rPr>
                <w:rFonts w:hint="eastAsia" w:ascii="方正仿宋简体" w:eastAsia="方正仿宋_GBK" w:cs="方正仿宋简体"/>
                <w:kern w:val="0"/>
                <w:sz w:val="20"/>
              </w:rPr>
              <w:t>施工总承包单位对分包单位劳动用工和工资发放等情况进行监督。</w:t>
            </w:r>
          </w:p>
          <w:p>
            <w:pPr>
              <w:widowControl/>
              <w:autoSpaceDN w:val="0"/>
              <w:rPr>
                <w:rFonts w:ascii="方正仿宋简体" w:eastAsia="方正仿宋_GBK" w:cs="方正仿宋简体"/>
                <w:kern w:val="0"/>
                <w:sz w:val="20"/>
              </w:rPr>
            </w:pPr>
            <w:r>
              <w:rPr>
                <w:rFonts w:hint="eastAsia" w:ascii="方正仿宋简体" w:eastAsia="方正仿宋_GBK" w:cs="方正仿宋简体"/>
                <w:kern w:val="0"/>
                <w:sz w:val="20"/>
              </w:rPr>
              <w:t>分包单位拖欠农民工工资的，由施工总承包单位先行清偿，再依法进行追偿。</w:t>
            </w:r>
          </w:p>
          <w:p>
            <w:pPr>
              <w:widowControl/>
              <w:autoSpaceDN w:val="0"/>
              <w:rPr>
                <w:rFonts w:ascii="方正仿宋简体" w:eastAsia="方正仿宋简体" w:cs="方正仿宋简体"/>
                <w:kern w:val="0"/>
                <w:szCs w:val="21"/>
              </w:rPr>
            </w:pPr>
            <w:r>
              <w:rPr>
                <w:rFonts w:hint="eastAsia" w:ascii="方正仿宋简体" w:eastAsia="方正仿宋_GBK" w:cs="方正仿宋简体"/>
                <w:kern w:val="0"/>
                <w:sz w:val="20"/>
              </w:rPr>
              <w:t>工程建设项目转包，拖欠农民工工资的，由施工总承包单位先行清偿，再依法进行追偿。</w:t>
            </w:r>
          </w:p>
        </w:tc>
        <w:tc>
          <w:tcPr>
            <w:tcW w:w="1698" w:type="dxa"/>
            <w:vMerge w:val="restart"/>
            <w:tcBorders>
              <w:top w:val="single" w:color="auto" w:sz="4" w:space="0"/>
              <w:left w:val="single" w:color="auto" w:sz="4" w:space="0"/>
              <w:bottom w:val="single" w:color="auto" w:sz="4" w:space="0"/>
              <w:right w:val="single" w:color="auto" w:sz="4" w:space="0"/>
            </w:tcBorders>
            <w:vAlign w:val="center"/>
          </w:tcPr>
          <w:p>
            <w:pPr>
              <w:widowControl/>
              <w:autoSpaceDN w:val="0"/>
              <w:rPr>
                <w:rFonts w:ascii="方正仿宋简体" w:eastAsia="方正仿宋_GBK" w:cs="方正仿宋简体"/>
                <w:kern w:val="0"/>
                <w:szCs w:val="21"/>
              </w:rPr>
            </w:pPr>
            <w:r>
              <w:rPr>
                <w:rFonts w:hint="eastAsia" w:ascii="方正仿宋简体" w:eastAsia="方正仿宋_GBK" w:cs="方正仿宋简体"/>
                <w:kern w:val="0"/>
                <w:szCs w:val="21"/>
              </w:rPr>
              <w:t>《保障农民工工资支付条例》第五十五条 有下列情形之一的，由相关行业工程建设主管部门按照职责责令限期改正；逾期不改正的，责令项目停工，并处5万元以上10万元以下的罚款；情节严重的，给予施工单位限制承接新工程、降低资质等级、吊销资质证书等处罚：</w:t>
            </w:r>
          </w:p>
          <w:p>
            <w:pPr>
              <w:widowControl/>
              <w:autoSpaceDN w:val="0"/>
              <w:rPr>
                <w:rFonts w:ascii="方正仿宋简体" w:eastAsia="方正仿宋简体" w:cs="方正仿宋简体"/>
                <w:kern w:val="0"/>
                <w:szCs w:val="21"/>
              </w:rPr>
            </w:pPr>
            <w:r>
              <w:rPr>
                <w:rFonts w:hint="eastAsia" w:ascii="方正仿宋简体" w:eastAsia="方正仿宋_GBK" w:cs="方正仿宋简体"/>
                <w:kern w:val="0"/>
                <w:szCs w:val="21"/>
              </w:rPr>
              <w:t>（三）施工总承包单位、分包单位未实行劳动用工实名制管理；</w:t>
            </w:r>
          </w:p>
        </w:tc>
        <w:tc>
          <w:tcPr>
            <w:tcW w:w="1191" w:type="dxa"/>
            <w:tcBorders>
              <w:top w:val="single" w:color="auto" w:sz="4" w:space="0"/>
              <w:left w:val="single" w:color="auto" w:sz="4" w:space="0"/>
              <w:bottom w:val="single" w:color="auto" w:sz="4" w:space="0"/>
              <w:right w:val="single" w:color="auto" w:sz="4" w:space="0"/>
            </w:tcBorders>
            <w:vAlign w:val="center"/>
          </w:tcPr>
          <w:p>
            <w:pPr>
              <w:widowControl/>
              <w:autoSpaceDN w:val="0"/>
              <w:jc w:val="center"/>
              <w:rPr>
                <w:rFonts w:ascii="方正仿宋简体" w:eastAsia="方正仿宋简体" w:cs="方正仿宋简体"/>
                <w:kern w:val="0"/>
                <w:szCs w:val="21"/>
              </w:rPr>
            </w:pPr>
            <w:r>
              <w:rPr>
                <w:rFonts w:hint="eastAsia" w:ascii="方正仿宋简体" w:eastAsia="方正仿宋_GBK" w:cs="方正仿宋简体"/>
                <w:szCs w:val="21"/>
              </w:rPr>
              <w:t>较轻</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autoSpaceDN w:val="0"/>
              <w:rPr>
                <w:rFonts w:ascii="方正仿宋简体" w:eastAsia="方正仿宋简体" w:cs="方正仿宋简体"/>
                <w:kern w:val="0"/>
                <w:szCs w:val="21"/>
              </w:rPr>
            </w:pPr>
            <w:r>
              <w:rPr>
                <w:rFonts w:hint="eastAsia" w:ascii="方正仿宋简体" w:eastAsia="方正仿宋_GBK" w:cs="方正仿宋简体"/>
                <w:kern w:val="0"/>
                <w:szCs w:val="21"/>
              </w:rPr>
              <w:t>尚未发生拖欠工资行为的</w:t>
            </w:r>
          </w:p>
        </w:tc>
        <w:tc>
          <w:tcPr>
            <w:tcW w:w="1928" w:type="dxa"/>
            <w:tcBorders>
              <w:top w:val="single" w:color="auto" w:sz="4" w:space="0"/>
              <w:left w:val="single" w:color="auto" w:sz="4" w:space="0"/>
              <w:bottom w:val="single" w:color="auto" w:sz="4" w:space="0"/>
              <w:right w:val="single" w:color="auto" w:sz="4" w:space="0"/>
            </w:tcBorders>
            <w:vAlign w:val="center"/>
          </w:tcPr>
          <w:p>
            <w:pPr>
              <w:widowControl/>
              <w:autoSpaceDN w:val="0"/>
              <w:rPr>
                <w:rFonts w:ascii="方正仿宋简体" w:eastAsia="方正仿宋简体" w:cs="方正仿宋简体"/>
                <w:kern w:val="0"/>
                <w:szCs w:val="21"/>
              </w:rPr>
            </w:pPr>
            <w:r>
              <w:rPr>
                <w:rFonts w:hint="eastAsia" w:ascii="方正仿宋简体" w:eastAsia="方正仿宋_GBK" w:cs="方正仿宋简体"/>
                <w:kern w:val="0"/>
                <w:szCs w:val="21"/>
              </w:rPr>
              <w:t>处5万元以上8万元以下罚款</w:t>
            </w:r>
          </w:p>
        </w:tc>
        <w:tc>
          <w:tcPr>
            <w:tcW w:w="1191" w:type="dxa"/>
            <w:vMerge w:val="restart"/>
            <w:tcBorders>
              <w:top w:val="single" w:color="auto" w:sz="4" w:space="0"/>
              <w:left w:val="single" w:color="auto" w:sz="4" w:space="0"/>
              <w:bottom w:val="single" w:color="auto" w:sz="4" w:space="0"/>
              <w:right w:val="single" w:color="auto" w:sz="4" w:space="0"/>
            </w:tcBorders>
            <w:vAlign w:val="center"/>
          </w:tcPr>
          <w:p>
            <w:pPr>
              <w:autoSpaceDN w:val="0"/>
              <w:rPr>
                <w:rFonts w:eastAsia="仿宋_GB2312"/>
                <w:kern w:val="0"/>
                <w:szCs w:val="21"/>
              </w:rPr>
            </w:pPr>
            <w:r>
              <w:rPr>
                <w:rFonts w:hint="eastAsia" w:ascii="方正仿宋简体" w:eastAsia="方正仿宋_GBK" w:cs="方正仿宋简体"/>
                <w:kern w:val="0"/>
                <w:szCs w:val="21"/>
              </w:rPr>
              <w:t>按照《&lt;保障农民工工资支付条例&gt;法律责任条款行政执法指引》执行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87" w:hRule="atLeast"/>
          <w:jc w:val="center"/>
        </w:trPr>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3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1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33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6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191" w:type="dxa"/>
            <w:tcBorders>
              <w:top w:val="single" w:color="auto" w:sz="4" w:space="0"/>
              <w:left w:val="single" w:color="auto" w:sz="4" w:space="0"/>
              <w:bottom w:val="single" w:color="auto" w:sz="4" w:space="0"/>
              <w:right w:val="single" w:color="auto" w:sz="4" w:space="0"/>
            </w:tcBorders>
            <w:vAlign w:val="center"/>
          </w:tcPr>
          <w:p>
            <w:pPr>
              <w:widowControl/>
              <w:autoSpaceDN w:val="0"/>
              <w:jc w:val="center"/>
              <w:rPr>
                <w:rFonts w:ascii="方正仿宋简体" w:eastAsia="方正仿宋简体" w:cs="方正仿宋简体"/>
                <w:kern w:val="0"/>
                <w:szCs w:val="21"/>
              </w:rPr>
            </w:pPr>
            <w:r>
              <w:rPr>
                <w:rFonts w:hint="eastAsia" w:ascii="方正仿宋简体" w:eastAsia="方正仿宋_GBK" w:cs="方正仿宋简体"/>
                <w:szCs w:val="21"/>
              </w:rPr>
              <w:t>较重</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autoSpaceDN w:val="0"/>
              <w:rPr>
                <w:rFonts w:ascii="方正仿宋简体" w:eastAsia="方正仿宋简体" w:cs="方正仿宋简体"/>
                <w:kern w:val="0"/>
                <w:szCs w:val="21"/>
              </w:rPr>
            </w:pPr>
            <w:r>
              <w:rPr>
                <w:rFonts w:hint="eastAsia" w:ascii="方正仿宋简体" w:eastAsia="方正仿宋_GBK" w:cs="方正仿宋简体"/>
                <w:kern w:val="0"/>
                <w:szCs w:val="21"/>
              </w:rPr>
              <w:t>发生拖欠工资行为的</w:t>
            </w:r>
          </w:p>
        </w:tc>
        <w:tc>
          <w:tcPr>
            <w:tcW w:w="1928" w:type="dxa"/>
            <w:tcBorders>
              <w:top w:val="single" w:color="auto" w:sz="4" w:space="0"/>
              <w:left w:val="single" w:color="auto" w:sz="4" w:space="0"/>
              <w:bottom w:val="single" w:color="auto" w:sz="4" w:space="0"/>
              <w:right w:val="single" w:color="auto" w:sz="4" w:space="0"/>
            </w:tcBorders>
            <w:vAlign w:val="center"/>
          </w:tcPr>
          <w:p>
            <w:pPr>
              <w:widowControl/>
              <w:autoSpaceDN w:val="0"/>
              <w:rPr>
                <w:rFonts w:ascii="方正仿宋简体" w:eastAsia="方正仿宋简体" w:cs="方正仿宋简体"/>
                <w:kern w:val="0"/>
                <w:szCs w:val="21"/>
              </w:rPr>
            </w:pPr>
            <w:r>
              <w:rPr>
                <w:rFonts w:hint="eastAsia" w:ascii="方正仿宋简体" w:eastAsia="方正仿宋_GBK" w:cs="方正仿宋简体"/>
                <w:kern w:val="0"/>
                <w:szCs w:val="21"/>
              </w:rPr>
              <w:t>处8万元以上10万元以下罚款</w:t>
            </w:r>
          </w:p>
        </w:tc>
        <w:tc>
          <w:tcPr>
            <w:tcW w:w="11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87" w:hRule="atLeast"/>
          <w:jc w:val="center"/>
        </w:trPr>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3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1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33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6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191" w:type="dxa"/>
            <w:tcBorders>
              <w:top w:val="single" w:color="auto" w:sz="4" w:space="0"/>
              <w:left w:val="single" w:color="auto" w:sz="4" w:space="0"/>
              <w:bottom w:val="single" w:color="auto" w:sz="4" w:space="0"/>
              <w:right w:val="single" w:color="auto" w:sz="4" w:space="0"/>
            </w:tcBorders>
            <w:vAlign w:val="center"/>
          </w:tcPr>
          <w:p>
            <w:pPr>
              <w:widowControl/>
              <w:autoSpaceDN w:val="0"/>
              <w:jc w:val="center"/>
              <w:rPr>
                <w:rFonts w:ascii="方正仿宋简体" w:eastAsia="方正仿宋简体" w:cs="方正仿宋简体"/>
                <w:kern w:val="0"/>
                <w:szCs w:val="21"/>
              </w:rPr>
            </w:pPr>
            <w:r>
              <w:rPr>
                <w:rFonts w:hint="eastAsia" w:ascii="方正仿宋简体" w:eastAsia="方正仿宋_GBK" w:cs="方正仿宋简体"/>
                <w:kern w:val="0"/>
                <w:szCs w:val="21"/>
              </w:rPr>
              <w:t>严重</w:t>
            </w:r>
          </w:p>
        </w:tc>
        <w:tc>
          <w:tcPr>
            <w:tcW w:w="2154" w:type="dxa"/>
            <w:tcBorders>
              <w:top w:val="single" w:color="auto" w:sz="4" w:space="0"/>
              <w:left w:val="single" w:color="auto" w:sz="4" w:space="0"/>
              <w:bottom w:val="single" w:color="auto" w:sz="4" w:space="0"/>
              <w:right w:val="single" w:color="auto" w:sz="4" w:space="0"/>
            </w:tcBorders>
            <w:vAlign w:val="center"/>
          </w:tcPr>
          <w:p>
            <w:pPr>
              <w:autoSpaceDN w:val="0"/>
              <w:rPr>
                <w:rFonts w:ascii="方正仿宋简体" w:eastAsia="方正仿宋简体" w:cs="方正仿宋简体"/>
                <w:kern w:val="0"/>
                <w:szCs w:val="21"/>
              </w:rPr>
            </w:pPr>
            <w:r>
              <w:rPr>
                <w:rFonts w:hint="eastAsia" w:ascii="方正仿宋简体" w:eastAsia="方正仿宋_GBK" w:cs="方正仿宋简体"/>
                <w:kern w:val="0"/>
                <w:szCs w:val="21"/>
              </w:rPr>
              <w:t>发生拖欠工资行为，且存在转包、违法分包、挂靠、出借资质等违法行为的</w:t>
            </w:r>
          </w:p>
        </w:tc>
        <w:tc>
          <w:tcPr>
            <w:tcW w:w="1928" w:type="dxa"/>
            <w:tcBorders>
              <w:top w:val="single" w:color="auto" w:sz="4" w:space="0"/>
              <w:left w:val="single" w:color="auto" w:sz="4" w:space="0"/>
              <w:bottom w:val="single" w:color="auto" w:sz="4" w:space="0"/>
              <w:right w:val="single" w:color="auto" w:sz="4" w:space="0"/>
            </w:tcBorders>
            <w:vAlign w:val="center"/>
          </w:tcPr>
          <w:p>
            <w:pPr>
              <w:widowControl/>
              <w:autoSpaceDN w:val="0"/>
              <w:rPr>
                <w:rFonts w:ascii="方正仿宋简体" w:eastAsia="方正仿宋简体" w:cs="方正仿宋简体"/>
                <w:kern w:val="0"/>
                <w:szCs w:val="21"/>
              </w:rPr>
            </w:pPr>
            <w:r>
              <w:rPr>
                <w:rFonts w:hint="eastAsia" w:ascii="方正仿宋简体" w:eastAsia="方正仿宋_GBK" w:cs="方正仿宋简体"/>
                <w:kern w:val="0"/>
                <w:szCs w:val="21"/>
              </w:rPr>
              <w:t>处10万元罚款；降低资质等级</w:t>
            </w:r>
          </w:p>
        </w:tc>
        <w:tc>
          <w:tcPr>
            <w:tcW w:w="11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58" w:hRule="atLeast"/>
          <w:jc w:val="center"/>
        </w:trPr>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3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1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33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6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191" w:type="dxa"/>
            <w:tcBorders>
              <w:top w:val="single" w:color="auto" w:sz="4" w:space="0"/>
              <w:left w:val="single" w:color="auto" w:sz="4" w:space="0"/>
              <w:bottom w:val="single" w:color="auto" w:sz="4" w:space="0"/>
              <w:right w:val="single" w:color="auto" w:sz="4" w:space="0"/>
            </w:tcBorders>
            <w:vAlign w:val="center"/>
          </w:tcPr>
          <w:p>
            <w:pPr>
              <w:widowControl/>
              <w:autoSpaceDN w:val="0"/>
              <w:jc w:val="center"/>
              <w:rPr>
                <w:rFonts w:ascii="方正仿宋简体" w:eastAsia="方正仿宋简体" w:cs="方正仿宋简体"/>
                <w:kern w:val="0"/>
                <w:szCs w:val="21"/>
              </w:rPr>
            </w:pPr>
            <w:r>
              <w:rPr>
                <w:rFonts w:hint="eastAsia" w:ascii="方正仿宋简体" w:eastAsia="方正仿宋简体" w:cs="方正仿宋简体"/>
                <w:szCs w:val="21"/>
              </w:rPr>
              <w:t>特别严重</w:t>
            </w:r>
          </w:p>
        </w:tc>
        <w:tc>
          <w:tcPr>
            <w:tcW w:w="2154" w:type="dxa"/>
            <w:tcBorders>
              <w:top w:val="single" w:color="auto" w:sz="4" w:space="0"/>
              <w:left w:val="single" w:color="auto" w:sz="4" w:space="0"/>
              <w:bottom w:val="single" w:color="auto" w:sz="4" w:space="0"/>
              <w:right w:val="single" w:color="auto" w:sz="4" w:space="0"/>
            </w:tcBorders>
            <w:vAlign w:val="center"/>
          </w:tcPr>
          <w:p>
            <w:pPr>
              <w:autoSpaceDN w:val="0"/>
              <w:rPr>
                <w:rFonts w:ascii="方正仿宋简体" w:eastAsia="方正仿宋简体" w:cs="方正仿宋简体"/>
                <w:kern w:val="0"/>
                <w:szCs w:val="21"/>
              </w:rPr>
            </w:pPr>
            <w:r>
              <w:rPr>
                <w:rFonts w:hint="eastAsia" w:ascii="方正仿宋简体" w:eastAsia="方正仿宋_GBK" w:cs="方正仿宋简体"/>
                <w:kern w:val="0"/>
                <w:szCs w:val="21"/>
              </w:rPr>
              <w:t>发生拖欠工资行为，且2年内发生2次及以上转包、违法分包、挂靠、出借资质等违法行为或因转包、违法分包、挂靠、出借资质等违法行为导致发生质量安全事故的；构成拒不支付劳动报酬罪的；造成严重社会影响的</w:t>
            </w:r>
          </w:p>
        </w:tc>
        <w:tc>
          <w:tcPr>
            <w:tcW w:w="1928" w:type="dxa"/>
            <w:tcBorders>
              <w:top w:val="single" w:color="auto" w:sz="4" w:space="0"/>
              <w:left w:val="single" w:color="auto" w:sz="4" w:space="0"/>
              <w:bottom w:val="single" w:color="auto" w:sz="4" w:space="0"/>
              <w:right w:val="single" w:color="auto" w:sz="4" w:space="0"/>
            </w:tcBorders>
            <w:vAlign w:val="center"/>
          </w:tcPr>
          <w:p>
            <w:pPr>
              <w:widowControl/>
              <w:autoSpaceDN w:val="0"/>
              <w:rPr>
                <w:rFonts w:ascii="方正仿宋简体" w:eastAsia="方正仿宋简体" w:cs="方正仿宋简体"/>
                <w:kern w:val="0"/>
                <w:szCs w:val="21"/>
              </w:rPr>
            </w:pPr>
            <w:r>
              <w:rPr>
                <w:rFonts w:hint="eastAsia" w:ascii="方正仿宋简体" w:eastAsia="方正仿宋_GBK" w:cs="方正仿宋简体"/>
                <w:kern w:val="0"/>
                <w:szCs w:val="21"/>
              </w:rPr>
              <w:t>处10万元罚款；吊销资质证书</w:t>
            </w:r>
          </w:p>
        </w:tc>
        <w:tc>
          <w:tcPr>
            <w:tcW w:w="11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Cs w:val="21"/>
              </w:rPr>
            </w:pPr>
          </w:p>
        </w:tc>
      </w:tr>
    </w:tbl>
    <w:p>
      <w:pPr>
        <w:tabs>
          <w:tab w:val="left" w:pos="13230"/>
        </w:tabs>
        <w:autoSpaceDN w:val="0"/>
        <w:jc w:val="left"/>
        <w:rPr>
          <w:rFonts w:ascii="方正黑体_GBK" w:eastAsia="方正黑体_GBK" w:cs="方正黑体_GBK"/>
          <w:sz w:val="32"/>
          <w:szCs w:val="32"/>
        </w:rPr>
      </w:pPr>
      <w:r>
        <w:rPr>
          <w:rFonts w:hint="eastAsia" w:ascii="方正黑体_GBK" w:eastAsia="方正黑体_GBK" w:cs="方正黑体_GBK"/>
          <w:sz w:val="32"/>
          <w:szCs w:val="32"/>
        </w:rPr>
        <w:br w:type="page"/>
      </w:r>
      <w:r>
        <w:rPr>
          <w:rFonts w:hint="eastAsia" w:ascii="方正黑体_GBK" w:eastAsia="方正黑体_GBK" w:cs="方正黑体_GBK"/>
          <w:sz w:val="32"/>
          <w:szCs w:val="32"/>
        </w:rPr>
        <w:t>《保障农民工工资支付条例》</w:t>
      </w:r>
    </w:p>
    <w:tbl>
      <w:tblPr>
        <w:tblStyle w:val="8"/>
        <w:tblW w:w="1457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80"/>
        <w:gridCol w:w="1361"/>
        <w:gridCol w:w="1304"/>
        <w:gridCol w:w="2948"/>
        <w:gridCol w:w="1984"/>
        <w:gridCol w:w="1191"/>
        <w:gridCol w:w="1928"/>
        <w:gridCol w:w="1984"/>
        <w:gridCol w:w="119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80"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序号</w:t>
            </w:r>
          </w:p>
        </w:tc>
        <w:tc>
          <w:tcPr>
            <w:tcW w:w="1361"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基准编号</w:t>
            </w:r>
          </w:p>
        </w:tc>
        <w:tc>
          <w:tcPr>
            <w:tcW w:w="1304"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违法行为</w:t>
            </w:r>
          </w:p>
        </w:tc>
        <w:tc>
          <w:tcPr>
            <w:tcW w:w="2948"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违反条款</w:t>
            </w:r>
          </w:p>
        </w:tc>
        <w:tc>
          <w:tcPr>
            <w:tcW w:w="1984"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处罚依据</w:t>
            </w:r>
          </w:p>
        </w:tc>
        <w:tc>
          <w:tcPr>
            <w:tcW w:w="1191"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裁量幅度</w:t>
            </w:r>
          </w:p>
        </w:tc>
        <w:tc>
          <w:tcPr>
            <w:tcW w:w="1928"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违法情节和后果</w:t>
            </w:r>
          </w:p>
        </w:tc>
        <w:tc>
          <w:tcPr>
            <w:tcW w:w="1984"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处罚裁量基准</w:t>
            </w:r>
          </w:p>
        </w:tc>
        <w:tc>
          <w:tcPr>
            <w:tcW w:w="1191"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其他处理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35" w:hRule="atLeast"/>
          <w:jc w:val="center"/>
        </w:trPr>
        <w:tc>
          <w:tcPr>
            <w:tcW w:w="680" w:type="dxa"/>
            <w:vMerge w:val="restart"/>
            <w:tcBorders>
              <w:top w:val="single" w:color="auto" w:sz="4" w:space="0"/>
              <w:left w:val="single" w:color="auto" w:sz="4" w:space="0"/>
              <w:bottom w:val="single" w:color="auto" w:sz="4" w:space="0"/>
              <w:right w:val="single" w:color="auto" w:sz="4" w:space="0"/>
            </w:tcBorders>
            <w:vAlign w:val="center"/>
          </w:tcPr>
          <w:p>
            <w:pPr>
              <w:widowControl/>
              <w:autoSpaceDN w:val="0"/>
              <w:jc w:val="center"/>
              <w:rPr>
                <w:rFonts w:ascii="方正仿宋简体" w:eastAsia="方正仿宋简体" w:cs="方正仿宋简体"/>
                <w:kern w:val="0"/>
                <w:szCs w:val="21"/>
              </w:rPr>
            </w:pPr>
            <w:r>
              <w:rPr>
                <w:rFonts w:hint="eastAsia" w:ascii="方正仿宋简体" w:eastAsia="方正仿宋_GBK" w:cs="方正仿宋简体"/>
                <w:kern w:val="0"/>
                <w:szCs w:val="21"/>
              </w:rPr>
              <w:t>314</w:t>
            </w:r>
          </w:p>
        </w:tc>
        <w:tc>
          <w:tcPr>
            <w:tcW w:w="1361" w:type="dxa"/>
            <w:vMerge w:val="restart"/>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kern w:val="0"/>
                <w:szCs w:val="21"/>
              </w:rPr>
            </w:pPr>
            <w:r>
              <w:rPr>
                <w:rFonts w:hint="eastAsia" w:ascii="方正仿宋简体" w:eastAsia="方正仿宋_GBK" w:cs="方正仿宋简体"/>
                <w:szCs w:val="21"/>
              </w:rPr>
              <w:t>G070105601</w:t>
            </w:r>
          </w:p>
        </w:tc>
        <w:tc>
          <w:tcPr>
            <w:tcW w:w="1304" w:type="dxa"/>
            <w:vMerge w:val="restart"/>
            <w:tcBorders>
              <w:top w:val="single" w:color="auto" w:sz="4" w:space="0"/>
              <w:left w:val="single" w:color="auto" w:sz="4" w:space="0"/>
              <w:bottom w:val="single" w:color="auto" w:sz="4" w:space="0"/>
              <w:right w:val="single" w:color="auto" w:sz="4" w:space="0"/>
            </w:tcBorders>
            <w:vAlign w:val="center"/>
          </w:tcPr>
          <w:p>
            <w:pPr>
              <w:autoSpaceDN w:val="0"/>
              <w:rPr>
                <w:rFonts w:ascii="方正仿宋简体" w:eastAsia="方正仿宋简体" w:cs="方正仿宋简体"/>
                <w:kern w:val="0"/>
                <w:szCs w:val="21"/>
              </w:rPr>
            </w:pPr>
            <w:r>
              <w:rPr>
                <w:rFonts w:hint="eastAsia" w:ascii="方正仿宋简体" w:eastAsia="方正仿宋_GBK" w:cs="方正仿宋简体"/>
                <w:kern w:val="0"/>
                <w:szCs w:val="21"/>
              </w:rPr>
              <w:t>分包单位未按月考核农民工工作量、编制工资支付表并经农民工本人签字确认的</w:t>
            </w:r>
          </w:p>
        </w:tc>
        <w:tc>
          <w:tcPr>
            <w:tcW w:w="2948" w:type="dxa"/>
            <w:vMerge w:val="restart"/>
            <w:tcBorders>
              <w:top w:val="single" w:color="auto" w:sz="4" w:space="0"/>
              <w:left w:val="single" w:color="auto" w:sz="4" w:space="0"/>
              <w:bottom w:val="single" w:color="auto" w:sz="4" w:space="0"/>
              <w:right w:val="single" w:color="auto" w:sz="4" w:space="0"/>
            </w:tcBorders>
            <w:vAlign w:val="center"/>
          </w:tcPr>
          <w:p>
            <w:pPr>
              <w:autoSpaceDN w:val="0"/>
              <w:rPr>
                <w:rFonts w:ascii="方正仿宋简体" w:eastAsia="方正仿宋_GBK" w:cs="方正仿宋简体"/>
                <w:kern w:val="0"/>
                <w:szCs w:val="21"/>
              </w:rPr>
            </w:pPr>
            <w:r>
              <w:rPr>
                <w:rFonts w:hint="eastAsia" w:ascii="方正仿宋简体" w:eastAsia="方正仿宋_GBK" w:cs="方正仿宋简体"/>
                <w:kern w:val="0"/>
                <w:szCs w:val="21"/>
              </w:rPr>
              <w:t>《保障农民工工资支付条例》第三十一条 工程建设领域推行分包单位农民工工资委托施工总承包单位代发制度。</w:t>
            </w:r>
          </w:p>
          <w:p>
            <w:pPr>
              <w:autoSpaceDN w:val="0"/>
              <w:rPr>
                <w:rFonts w:ascii="方正仿宋简体" w:eastAsia="方正仿宋_GBK" w:cs="方正仿宋简体"/>
                <w:kern w:val="0"/>
                <w:szCs w:val="21"/>
              </w:rPr>
            </w:pPr>
            <w:r>
              <w:rPr>
                <w:rFonts w:hint="eastAsia" w:ascii="方正仿宋简体" w:eastAsia="方正仿宋_GBK" w:cs="方正仿宋简体"/>
                <w:kern w:val="0"/>
                <w:szCs w:val="21"/>
              </w:rPr>
              <w:t>分包单位应当按月考核农民工工作量并编制工资支付表，经农民工本人签字确认后，与当月工程进度等情况一并交施工总承包单位。</w:t>
            </w:r>
          </w:p>
          <w:p>
            <w:pPr>
              <w:autoSpaceDN w:val="0"/>
              <w:rPr>
                <w:rFonts w:ascii="方正仿宋简体" w:eastAsia="方正仿宋_GBK" w:cs="方正仿宋简体"/>
                <w:kern w:val="0"/>
                <w:szCs w:val="21"/>
              </w:rPr>
            </w:pPr>
            <w:r>
              <w:rPr>
                <w:rFonts w:hint="eastAsia" w:ascii="方正仿宋简体" w:eastAsia="方正仿宋_GBK" w:cs="方正仿宋简体"/>
                <w:kern w:val="0"/>
                <w:szCs w:val="21"/>
              </w:rPr>
              <w:t>施工总承包单位根据分包单位编制的工资支付表，通过农民工工资专用账户直接将工资支付到农民工本人的银行账户，并向分包单位提供代发工资凭证。</w:t>
            </w:r>
          </w:p>
          <w:p>
            <w:pPr>
              <w:autoSpaceDN w:val="0"/>
              <w:rPr>
                <w:rFonts w:ascii="方正仿宋简体" w:eastAsia="方正仿宋简体" w:cs="方正仿宋简体"/>
                <w:kern w:val="0"/>
                <w:szCs w:val="21"/>
              </w:rPr>
            </w:pPr>
            <w:r>
              <w:rPr>
                <w:rFonts w:hint="eastAsia" w:ascii="方正仿宋简体" w:eastAsia="方正仿宋_GBK" w:cs="方正仿宋简体"/>
                <w:kern w:val="0"/>
                <w:szCs w:val="21"/>
              </w:rPr>
              <w:t>用于支付农民工工资的银行账户所绑定的农民工本人社会保障卡或者银行卡，用人单位或者其他人员不得以任何理由扣押或者变相扣押。</w:t>
            </w:r>
          </w:p>
        </w:tc>
        <w:tc>
          <w:tcPr>
            <w:tcW w:w="1984" w:type="dxa"/>
            <w:vMerge w:val="restart"/>
            <w:tcBorders>
              <w:top w:val="single" w:color="auto" w:sz="4" w:space="0"/>
              <w:left w:val="single" w:color="auto" w:sz="4" w:space="0"/>
              <w:bottom w:val="single" w:color="auto" w:sz="4" w:space="0"/>
              <w:right w:val="single" w:color="auto" w:sz="4" w:space="0"/>
            </w:tcBorders>
            <w:vAlign w:val="center"/>
          </w:tcPr>
          <w:p>
            <w:pPr>
              <w:autoSpaceDN w:val="0"/>
              <w:rPr>
                <w:rFonts w:ascii="方正仿宋简体" w:eastAsia="方正仿宋_GBK" w:cs="方正仿宋简体"/>
                <w:kern w:val="0"/>
                <w:szCs w:val="21"/>
              </w:rPr>
            </w:pPr>
            <w:r>
              <w:rPr>
                <w:rFonts w:hint="eastAsia" w:ascii="方正仿宋简体" w:eastAsia="方正仿宋_GBK" w:cs="方正仿宋简体"/>
                <w:kern w:val="0"/>
                <w:szCs w:val="21"/>
              </w:rPr>
              <w:t>《保障农民工工资支付条例》第五十六条 有下列情形之一的，由相关行业工程建设主管部门按照职责责令限期改正；逾期不改正的，处5万元以上10万元以下的罚款：</w:t>
            </w:r>
          </w:p>
          <w:p>
            <w:pPr>
              <w:widowControl/>
              <w:autoSpaceDN w:val="0"/>
              <w:rPr>
                <w:rFonts w:ascii="方正仿宋简体" w:eastAsia="方正仿宋简体" w:cs="方正仿宋简体"/>
                <w:kern w:val="0"/>
                <w:szCs w:val="21"/>
              </w:rPr>
            </w:pPr>
            <w:r>
              <w:rPr>
                <w:rFonts w:hint="eastAsia" w:ascii="方正仿宋简体" w:eastAsia="方正仿宋_GBK" w:cs="方正仿宋简体"/>
                <w:kern w:val="0"/>
                <w:szCs w:val="21"/>
              </w:rPr>
              <w:t>（一）分包单位未按月考核农民工工作量、编制工资支付表并经农民工本人签字确认；</w:t>
            </w:r>
          </w:p>
        </w:tc>
        <w:tc>
          <w:tcPr>
            <w:tcW w:w="1191" w:type="dxa"/>
            <w:tcBorders>
              <w:top w:val="single" w:color="auto" w:sz="4" w:space="0"/>
              <w:left w:val="single" w:color="auto" w:sz="4" w:space="0"/>
              <w:bottom w:val="single" w:color="auto" w:sz="4" w:space="0"/>
              <w:right w:val="single" w:color="auto" w:sz="4" w:space="0"/>
            </w:tcBorders>
            <w:vAlign w:val="center"/>
          </w:tcPr>
          <w:p>
            <w:pPr>
              <w:widowControl/>
              <w:autoSpaceDN w:val="0"/>
              <w:jc w:val="center"/>
              <w:rPr>
                <w:rFonts w:ascii="方正仿宋简体" w:eastAsia="方正仿宋简体" w:cs="方正仿宋简体"/>
                <w:kern w:val="0"/>
                <w:szCs w:val="21"/>
              </w:rPr>
            </w:pPr>
            <w:r>
              <w:rPr>
                <w:rFonts w:hint="eastAsia" w:ascii="方正仿宋简体" w:eastAsia="方正仿宋_GBK" w:cs="方正仿宋简体"/>
                <w:szCs w:val="21"/>
              </w:rPr>
              <w:t>较轻</w:t>
            </w:r>
          </w:p>
        </w:tc>
        <w:tc>
          <w:tcPr>
            <w:tcW w:w="1928" w:type="dxa"/>
            <w:tcBorders>
              <w:top w:val="single" w:color="auto" w:sz="4" w:space="0"/>
              <w:left w:val="single" w:color="auto" w:sz="4" w:space="0"/>
              <w:bottom w:val="single" w:color="auto" w:sz="4" w:space="0"/>
              <w:right w:val="single" w:color="auto" w:sz="4" w:space="0"/>
            </w:tcBorders>
            <w:vAlign w:val="center"/>
          </w:tcPr>
          <w:p>
            <w:pPr>
              <w:widowControl/>
              <w:autoSpaceDN w:val="0"/>
              <w:rPr>
                <w:rFonts w:ascii="方正仿宋简体" w:eastAsia="方正仿宋简体" w:cs="方正仿宋简体"/>
                <w:kern w:val="0"/>
                <w:szCs w:val="21"/>
              </w:rPr>
            </w:pPr>
            <w:r>
              <w:rPr>
                <w:rFonts w:hint="eastAsia" w:ascii="方正仿宋简体" w:eastAsia="方正仿宋_GBK" w:cs="方正仿宋简体"/>
                <w:kern w:val="0"/>
                <w:szCs w:val="21"/>
              </w:rPr>
              <w:t>尚未发生拖欠工资行为的</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autoSpaceDN w:val="0"/>
              <w:rPr>
                <w:rFonts w:ascii="方正仿宋简体" w:eastAsia="方正仿宋简体" w:cs="方正仿宋简体"/>
                <w:kern w:val="0"/>
                <w:szCs w:val="21"/>
              </w:rPr>
            </w:pPr>
            <w:r>
              <w:rPr>
                <w:rFonts w:hint="eastAsia" w:ascii="方正仿宋简体" w:eastAsia="方正仿宋_GBK" w:cs="方正仿宋简体"/>
                <w:kern w:val="0"/>
                <w:szCs w:val="21"/>
              </w:rPr>
              <w:t>处5万元以上6.5万元以下罚款</w:t>
            </w:r>
          </w:p>
        </w:tc>
        <w:tc>
          <w:tcPr>
            <w:tcW w:w="1191" w:type="dxa"/>
            <w:vMerge w:val="restart"/>
            <w:tcBorders>
              <w:top w:val="single" w:color="auto" w:sz="4" w:space="0"/>
              <w:left w:val="single" w:color="auto" w:sz="4" w:space="0"/>
              <w:bottom w:val="single" w:color="auto" w:sz="4" w:space="0"/>
              <w:right w:val="single" w:color="auto" w:sz="4" w:space="0"/>
            </w:tcBorders>
            <w:vAlign w:val="center"/>
          </w:tcPr>
          <w:p>
            <w:pPr>
              <w:widowControl/>
              <w:autoSpaceDN w:val="0"/>
              <w:rPr>
                <w:rFonts w:ascii="方正仿宋简体" w:eastAsia="方正仿宋简体" w:cs="方正仿宋简体"/>
                <w:kern w:val="0"/>
                <w:szCs w:val="21"/>
              </w:rPr>
            </w:pPr>
            <w:r>
              <w:rPr>
                <w:rFonts w:hint="eastAsia" w:ascii="方正仿宋简体" w:eastAsia="方正仿宋_GBK" w:cs="方正仿宋简体"/>
                <w:kern w:val="0"/>
                <w:szCs w:val="21"/>
              </w:rPr>
              <w:t>相关行业工程建设主管部门按照职责责令限期改正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35" w:hRule="atLeast"/>
          <w:jc w:val="center"/>
        </w:trPr>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3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29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9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191" w:type="dxa"/>
            <w:tcBorders>
              <w:top w:val="single" w:color="auto" w:sz="4" w:space="0"/>
              <w:left w:val="single" w:color="auto" w:sz="4" w:space="0"/>
              <w:bottom w:val="single" w:color="auto" w:sz="4" w:space="0"/>
              <w:right w:val="single" w:color="auto" w:sz="4" w:space="0"/>
            </w:tcBorders>
            <w:vAlign w:val="center"/>
          </w:tcPr>
          <w:p>
            <w:pPr>
              <w:autoSpaceDN w:val="0"/>
              <w:spacing w:line="271" w:lineRule="auto"/>
              <w:jc w:val="center"/>
              <w:rPr>
                <w:rFonts w:ascii="方正仿宋简体" w:eastAsia="方正仿宋简体" w:cs="方正仿宋简体"/>
                <w:kern w:val="0"/>
                <w:szCs w:val="21"/>
              </w:rPr>
            </w:pPr>
            <w:r>
              <w:rPr>
                <w:rFonts w:hint="eastAsia" w:ascii="方正仿宋简体" w:eastAsia="方正仿宋_GBK" w:cs="方正仿宋简体"/>
                <w:szCs w:val="21"/>
              </w:rPr>
              <w:t>较重</w:t>
            </w:r>
          </w:p>
        </w:tc>
        <w:tc>
          <w:tcPr>
            <w:tcW w:w="1928" w:type="dxa"/>
            <w:tcBorders>
              <w:top w:val="single" w:color="auto" w:sz="4" w:space="0"/>
              <w:left w:val="single" w:color="auto" w:sz="4" w:space="0"/>
              <w:bottom w:val="single" w:color="auto" w:sz="4" w:space="0"/>
              <w:right w:val="single" w:color="auto" w:sz="4" w:space="0"/>
            </w:tcBorders>
            <w:vAlign w:val="center"/>
          </w:tcPr>
          <w:p>
            <w:pPr>
              <w:widowControl/>
              <w:autoSpaceDN w:val="0"/>
              <w:rPr>
                <w:rFonts w:ascii="方正仿宋简体" w:eastAsia="方正仿宋简体" w:cs="方正仿宋简体"/>
                <w:kern w:val="0"/>
                <w:szCs w:val="21"/>
              </w:rPr>
            </w:pPr>
            <w:r>
              <w:rPr>
                <w:rFonts w:hint="eastAsia" w:ascii="方正仿宋简体" w:eastAsia="方正仿宋_GBK" w:cs="方正仿宋简体"/>
                <w:kern w:val="0"/>
                <w:szCs w:val="21"/>
              </w:rPr>
              <w:t>发生拖欠工资行为的</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autoSpaceDN w:val="0"/>
              <w:rPr>
                <w:rFonts w:ascii="方正仿宋简体" w:eastAsia="方正仿宋简体" w:cs="方正仿宋简体"/>
                <w:kern w:val="0"/>
                <w:szCs w:val="21"/>
              </w:rPr>
            </w:pPr>
            <w:r>
              <w:rPr>
                <w:rFonts w:hint="eastAsia" w:ascii="方正仿宋简体" w:eastAsia="方正仿宋_GBK" w:cs="方正仿宋简体"/>
                <w:kern w:val="0"/>
                <w:szCs w:val="21"/>
              </w:rPr>
              <w:t>处6.5万元以上8.5万元以下罚款</w:t>
            </w:r>
          </w:p>
        </w:tc>
        <w:tc>
          <w:tcPr>
            <w:tcW w:w="11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35" w:hRule="atLeast"/>
          <w:jc w:val="center"/>
        </w:trPr>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3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29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9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191" w:type="dxa"/>
            <w:tcBorders>
              <w:top w:val="single" w:color="auto" w:sz="4" w:space="0"/>
              <w:left w:val="single" w:color="auto" w:sz="4" w:space="0"/>
              <w:bottom w:val="single" w:color="auto" w:sz="4" w:space="0"/>
              <w:right w:val="single" w:color="auto" w:sz="4" w:space="0"/>
            </w:tcBorders>
            <w:vAlign w:val="center"/>
          </w:tcPr>
          <w:p>
            <w:pPr>
              <w:autoSpaceDN w:val="0"/>
              <w:spacing w:line="271" w:lineRule="auto"/>
              <w:jc w:val="center"/>
              <w:rPr>
                <w:rFonts w:ascii="方正仿宋简体" w:eastAsia="方正仿宋简体" w:cs="方正仿宋简体"/>
                <w:kern w:val="0"/>
                <w:szCs w:val="21"/>
              </w:rPr>
            </w:pPr>
            <w:r>
              <w:rPr>
                <w:rFonts w:hint="eastAsia" w:ascii="方正仿宋简体" w:eastAsia="方正仿宋简体" w:cs="方正仿宋简体"/>
                <w:szCs w:val="21"/>
              </w:rPr>
              <w:t>严重</w:t>
            </w:r>
          </w:p>
        </w:tc>
        <w:tc>
          <w:tcPr>
            <w:tcW w:w="1928" w:type="dxa"/>
            <w:tcBorders>
              <w:top w:val="single" w:color="auto" w:sz="4" w:space="0"/>
              <w:left w:val="single" w:color="auto" w:sz="4" w:space="0"/>
              <w:bottom w:val="single" w:color="auto" w:sz="4" w:space="0"/>
              <w:right w:val="single" w:color="auto" w:sz="4" w:space="0"/>
            </w:tcBorders>
            <w:vAlign w:val="center"/>
          </w:tcPr>
          <w:p>
            <w:pPr>
              <w:widowControl/>
              <w:autoSpaceDN w:val="0"/>
              <w:rPr>
                <w:rFonts w:ascii="方正仿宋简体" w:eastAsia="方正仿宋简体" w:cs="方正仿宋简体"/>
                <w:kern w:val="0"/>
                <w:szCs w:val="21"/>
              </w:rPr>
            </w:pPr>
            <w:r>
              <w:rPr>
                <w:rFonts w:hint="eastAsia" w:ascii="方正仿宋简体" w:eastAsia="方正仿宋_GBK" w:cs="方正仿宋简体"/>
                <w:kern w:val="0"/>
                <w:szCs w:val="21"/>
              </w:rPr>
              <w:t>发生群体性讨薪行为的</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autoSpaceDN w:val="0"/>
              <w:rPr>
                <w:rFonts w:ascii="方正仿宋简体" w:eastAsia="方正仿宋简体" w:cs="方正仿宋简体"/>
                <w:kern w:val="0"/>
                <w:szCs w:val="21"/>
              </w:rPr>
            </w:pPr>
            <w:r>
              <w:rPr>
                <w:rFonts w:hint="eastAsia" w:ascii="方正仿宋简体" w:eastAsia="方正仿宋_GBK" w:cs="方正仿宋简体"/>
                <w:kern w:val="0"/>
                <w:szCs w:val="21"/>
              </w:rPr>
              <w:t>处8.5万元以上10万以下元罚款</w:t>
            </w:r>
          </w:p>
        </w:tc>
        <w:tc>
          <w:tcPr>
            <w:tcW w:w="11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r>
    </w:tbl>
    <w:p>
      <w:pPr>
        <w:tabs>
          <w:tab w:val="left" w:pos="13230"/>
        </w:tabs>
        <w:autoSpaceDN w:val="0"/>
        <w:jc w:val="left"/>
        <w:rPr>
          <w:rFonts w:ascii="方正黑体_GBK" w:eastAsia="方正黑体_GBK" w:cs="方正黑体_GBK"/>
          <w:sz w:val="32"/>
          <w:szCs w:val="32"/>
        </w:rPr>
      </w:pPr>
      <w:r>
        <w:rPr>
          <w:rFonts w:hint="eastAsia" w:ascii="方正黑体_GBK" w:eastAsia="方正黑体_GBK" w:cs="方正黑体_GBK"/>
          <w:sz w:val="32"/>
          <w:szCs w:val="32"/>
        </w:rPr>
        <w:br w:type="page"/>
      </w:r>
      <w:r>
        <w:rPr>
          <w:rFonts w:hint="eastAsia" w:ascii="方正黑体_GBK" w:eastAsia="方正黑体_GBK" w:cs="方正黑体_GBK"/>
          <w:sz w:val="32"/>
          <w:szCs w:val="32"/>
        </w:rPr>
        <w:t>《保障农民工工资支付条例》</w:t>
      </w:r>
    </w:p>
    <w:tbl>
      <w:tblPr>
        <w:tblStyle w:val="8"/>
        <w:tblW w:w="1468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80"/>
        <w:gridCol w:w="1361"/>
        <w:gridCol w:w="1134"/>
        <w:gridCol w:w="3402"/>
        <w:gridCol w:w="1814"/>
        <w:gridCol w:w="1191"/>
        <w:gridCol w:w="1928"/>
        <w:gridCol w:w="1984"/>
        <w:gridCol w:w="119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80"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序号</w:t>
            </w:r>
          </w:p>
        </w:tc>
        <w:tc>
          <w:tcPr>
            <w:tcW w:w="1361"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基准编号</w:t>
            </w:r>
          </w:p>
        </w:tc>
        <w:tc>
          <w:tcPr>
            <w:tcW w:w="1134"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违法行为</w:t>
            </w:r>
          </w:p>
        </w:tc>
        <w:tc>
          <w:tcPr>
            <w:tcW w:w="3402"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违反条款</w:t>
            </w:r>
          </w:p>
        </w:tc>
        <w:tc>
          <w:tcPr>
            <w:tcW w:w="1814"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处罚依据</w:t>
            </w:r>
          </w:p>
        </w:tc>
        <w:tc>
          <w:tcPr>
            <w:tcW w:w="1191"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裁量幅度</w:t>
            </w:r>
          </w:p>
        </w:tc>
        <w:tc>
          <w:tcPr>
            <w:tcW w:w="1928"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违法情节和后果</w:t>
            </w:r>
          </w:p>
        </w:tc>
        <w:tc>
          <w:tcPr>
            <w:tcW w:w="1984"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处罚裁量基准</w:t>
            </w:r>
          </w:p>
        </w:tc>
        <w:tc>
          <w:tcPr>
            <w:tcW w:w="1191"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其他处理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35" w:hRule="atLeast"/>
          <w:jc w:val="center"/>
        </w:trPr>
        <w:tc>
          <w:tcPr>
            <w:tcW w:w="680" w:type="dxa"/>
            <w:vMerge w:val="restart"/>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kern w:val="0"/>
                <w:szCs w:val="21"/>
              </w:rPr>
            </w:pPr>
            <w:r>
              <w:rPr>
                <w:rFonts w:hint="eastAsia" w:ascii="方正仿宋简体" w:eastAsia="方正仿宋_GBK" w:cs="方正仿宋简体"/>
                <w:kern w:val="0"/>
                <w:szCs w:val="21"/>
              </w:rPr>
              <w:t>315</w:t>
            </w:r>
          </w:p>
        </w:tc>
        <w:tc>
          <w:tcPr>
            <w:tcW w:w="1361" w:type="dxa"/>
            <w:vMerge w:val="restart"/>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kern w:val="0"/>
                <w:szCs w:val="21"/>
              </w:rPr>
            </w:pPr>
            <w:r>
              <w:rPr>
                <w:rFonts w:hint="eastAsia" w:ascii="方正仿宋简体" w:eastAsia="方正仿宋_GBK" w:cs="方正仿宋简体"/>
                <w:szCs w:val="21"/>
              </w:rPr>
              <w:t>G070105602</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autoSpaceDN w:val="0"/>
              <w:rPr>
                <w:rFonts w:ascii="方正仿宋简体" w:eastAsia="方正仿宋简体" w:cs="方正仿宋简体"/>
                <w:kern w:val="0"/>
                <w:szCs w:val="21"/>
              </w:rPr>
            </w:pPr>
            <w:r>
              <w:rPr>
                <w:rFonts w:hint="eastAsia" w:ascii="方正仿宋简体" w:eastAsia="方正仿宋_GBK" w:cs="方正仿宋简体"/>
                <w:kern w:val="0"/>
                <w:szCs w:val="21"/>
              </w:rPr>
              <w:t>施工总承包单位未对分包单位劳动用工实施监督管理的</w:t>
            </w:r>
          </w:p>
        </w:tc>
        <w:tc>
          <w:tcPr>
            <w:tcW w:w="3402" w:type="dxa"/>
            <w:vMerge w:val="restart"/>
            <w:tcBorders>
              <w:top w:val="single" w:color="auto" w:sz="4" w:space="0"/>
              <w:left w:val="single" w:color="auto" w:sz="4" w:space="0"/>
              <w:bottom w:val="single" w:color="auto" w:sz="4" w:space="0"/>
              <w:right w:val="single" w:color="auto" w:sz="4" w:space="0"/>
            </w:tcBorders>
            <w:vAlign w:val="center"/>
          </w:tcPr>
          <w:p>
            <w:pPr>
              <w:autoSpaceDN w:val="0"/>
              <w:spacing w:line="280" w:lineRule="exact"/>
              <w:rPr>
                <w:rFonts w:ascii="方正仿宋简体" w:eastAsia="方正仿宋_GBK" w:cs="方正仿宋简体"/>
                <w:kern w:val="0"/>
                <w:szCs w:val="21"/>
              </w:rPr>
            </w:pPr>
            <w:r>
              <w:rPr>
                <w:rFonts w:hint="eastAsia" w:ascii="方正仿宋简体" w:eastAsia="方正仿宋_GBK" w:cs="方正仿宋简体"/>
                <w:kern w:val="0"/>
                <w:szCs w:val="21"/>
              </w:rPr>
              <w:t>《保障农民工工资支付条例》第二十八条 施工总承包单位或者分包单位应当依法与所招用的农民工订立劳动合同并进行用工实名登记，具备条件的行业应当通过相应的管理服务信息平台进行用工实名登记、管理。未与施工总承包单位或者分包单位订立劳动合同并进行用工实名登记的人员，不得进入项目现场施工。</w:t>
            </w:r>
          </w:p>
          <w:p>
            <w:pPr>
              <w:autoSpaceDN w:val="0"/>
              <w:spacing w:line="280" w:lineRule="exact"/>
              <w:rPr>
                <w:rFonts w:ascii="方正仿宋简体" w:eastAsia="方正仿宋_GBK" w:cs="方正仿宋简体"/>
                <w:kern w:val="0"/>
                <w:szCs w:val="21"/>
              </w:rPr>
            </w:pPr>
            <w:r>
              <w:rPr>
                <w:rFonts w:hint="eastAsia" w:ascii="方正仿宋简体" w:eastAsia="方正仿宋_GBK" w:cs="方正仿宋简体"/>
                <w:kern w:val="0"/>
                <w:szCs w:val="21"/>
              </w:rPr>
              <w:t>施工总承包单位应当在工程项目部配备劳资专管员，对分包单位劳动用工实施监督管理，掌握施工现场用工、考勤、工资支付等情况，审核分包单位编制的农民工工资支付表，分包单位应当予以配合。</w:t>
            </w:r>
          </w:p>
          <w:p>
            <w:pPr>
              <w:autoSpaceDN w:val="0"/>
              <w:spacing w:line="280" w:lineRule="exact"/>
              <w:rPr>
                <w:rFonts w:ascii="方正仿宋简体" w:eastAsia="方正仿宋_GBK" w:cs="方正仿宋简体"/>
                <w:kern w:val="0"/>
                <w:szCs w:val="21"/>
              </w:rPr>
            </w:pPr>
            <w:r>
              <w:rPr>
                <w:rFonts w:hint="eastAsia" w:ascii="方正仿宋简体" w:eastAsia="方正仿宋_GBK" w:cs="方正仿宋简体"/>
                <w:kern w:val="0"/>
                <w:szCs w:val="21"/>
              </w:rPr>
              <w:t>施工总承包单位、分包单位应当建立用工管理台账，并保存至工程完工且工资全部结清后至少3年。</w:t>
            </w:r>
          </w:p>
          <w:p>
            <w:pPr>
              <w:autoSpaceDN w:val="0"/>
              <w:spacing w:line="280" w:lineRule="exact"/>
              <w:rPr>
                <w:rFonts w:ascii="方正仿宋简体" w:eastAsia="方正仿宋_GBK" w:cs="方正仿宋简体"/>
                <w:kern w:val="0"/>
                <w:szCs w:val="21"/>
              </w:rPr>
            </w:pPr>
            <w:r>
              <w:rPr>
                <w:rFonts w:hint="eastAsia" w:ascii="方正仿宋简体" w:eastAsia="方正仿宋_GBK" w:cs="方正仿宋简体"/>
                <w:kern w:val="0"/>
                <w:szCs w:val="21"/>
              </w:rPr>
              <w:t>第三十条 分包单位对所招用农民工的实名制管理和工资支付负直接责任。</w:t>
            </w:r>
          </w:p>
          <w:p>
            <w:pPr>
              <w:autoSpaceDN w:val="0"/>
              <w:spacing w:line="280" w:lineRule="exact"/>
              <w:rPr>
                <w:rFonts w:ascii="方正仿宋简体" w:eastAsia="方正仿宋_GBK" w:cs="方正仿宋简体"/>
                <w:kern w:val="0"/>
                <w:szCs w:val="21"/>
              </w:rPr>
            </w:pPr>
            <w:r>
              <w:rPr>
                <w:rFonts w:hint="eastAsia" w:ascii="方正仿宋简体" w:eastAsia="方正仿宋_GBK" w:cs="方正仿宋简体"/>
                <w:kern w:val="0"/>
                <w:szCs w:val="21"/>
              </w:rPr>
              <w:t>施工总承包单位对分包单位劳动用工和工资发放等情况进行监督。</w:t>
            </w:r>
          </w:p>
          <w:p>
            <w:pPr>
              <w:autoSpaceDN w:val="0"/>
              <w:spacing w:line="280" w:lineRule="exact"/>
              <w:rPr>
                <w:rFonts w:ascii="方正仿宋简体" w:eastAsia="方正仿宋_GBK" w:cs="方正仿宋简体"/>
                <w:kern w:val="0"/>
                <w:szCs w:val="21"/>
              </w:rPr>
            </w:pPr>
            <w:r>
              <w:rPr>
                <w:rFonts w:hint="eastAsia" w:ascii="方正仿宋简体" w:eastAsia="方正仿宋_GBK" w:cs="方正仿宋简体"/>
                <w:kern w:val="0"/>
                <w:szCs w:val="21"/>
              </w:rPr>
              <w:t>分包单位拖欠农民工工资的，由施工总承包单位先行清偿，再依法进行追偿。</w:t>
            </w:r>
          </w:p>
          <w:p>
            <w:pPr>
              <w:autoSpaceDN w:val="0"/>
              <w:spacing w:line="280" w:lineRule="exact"/>
              <w:rPr>
                <w:rFonts w:ascii="方正仿宋简体" w:eastAsia="方正仿宋简体" w:cs="方正仿宋简体"/>
                <w:kern w:val="0"/>
                <w:szCs w:val="21"/>
              </w:rPr>
            </w:pPr>
            <w:r>
              <w:rPr>
                <w:rFonts w:hint="eastAsia" w:ascii="方正仿宋简体" w:eastAsia="方正仿宋_GBK" w:cs="方正仿宋简体"/>
                <w:kern w:val="0"/>
                <w:szCs w:val="21"/>
              </w:rPr>
              <w:t>工程建设项目转包，拖欠农民工工资的，由施工总承包单位先行清偿，再依法进行追偿。</w:t>
            </w:r>
          </w:p>
        </w:tc>
        <w:tc>
          <w:tcPr>
            <w:tcW w:w="1814" w:type="dxa"/>
            <w:vMerge w:val="restart"/>
            <w:tcBorders>
              <w:top w:val="single" w:color="auto" w:sz="4" w:space="0"/>
              <w:left w:val="single" w:color="auto" w:sz="4" w:space="0"/>
              <w:bottom w:val="single" w:color="auto" w:sz="4" w:space="0"/>
              <w:right w:val="single" w:color="auto" w:sz="4" w:space="0"/>
            </w:tcBorders>
            <w:vAlign w:val="center"/>
          </w:tcPr>
          <w:p>
            <w:pPr>
              <w:autoSpaceDN w:val="0"/>
              <w:rPr>
                <w:rFonts w:ascii="方正仿宋简体" w:eastAsia="方正仿宋_GBK" w:cs="方正仿宋简体"/>
                <w:kern w:val="0"/>
                <w:szCs w:val="21"/>
              </w:rPr>
            </w:pPr>
            <w:r>
              <w:rPr>
                <w:rFonts w:hint="eastAsia" w:ascii="方正仿宋简体" w:eastAsia="方正仿宋_GBK" w:cs="方正仿宋简体"/>
                <w:kern w:val="0"/>
                <w:szCs w:val="21"/>
              </w:rPr>
              <w:t>《保障农民工工资支付条例》第五十六条 有下列情形之一的，由相关行业工程建设主管部门按照职责责令限期改正；逾期不改正的，处5万元以上10万元以下的罚款：</w:t>
            </w:r>
          </w:p>
          <w:p>
            <w:pPr>
              <w:autoSpaceDN w:val="0"/>
              <w:rPr>
                <w:rFonts w:ascii="方正仿宋简体" w:eastAsia="方正仿宋简体" w:cs="方正仿宋简体"/>
                <w:kern w:val="0"/>
                <w:szCs w:val="21"/>
              </w:rPr>
            </w:pPr>
            <w:r>
              <w:rPr>
                <w:rFonts w:hint="eastAsia" w:ascii="方正仿宋简体" w:eastAsia="方正仿宋_GBK" w:cs="方正仿宋简体"/>
                <w:kern w:val="0"/>
                <w:szCs w:val="21"/>
              </w:rPr>
              <w:t>（二）施工总承包单位未对分包单位劳动用工实施监督管理；</w:t>
            </w:r>
          </w:p>
        </w:tc>
        <w:tc>
          <w:tcPr>
            <w:tcW w:w="1191"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kern w:val="0"/>
                <w:szCs w:val="21"/>
              </w:rPr>
            </w:pPr>
            <w:r>
              <w:rPr>
                <w:rFonts w:hint="eastAsia" w:ascii="方正仿宋简体" w:eastAsia="方正仿宋_GBK" w:cs="方正仿宋简体"/>
                <w:szCs w:val="21"/>
              </w:rPr>
              <w:t>较轻</w:t>
            </w:r>
          </w:p>
        </w:tc>
        <w:tc>
          <w:tcPr>
            <w:tcW w:w="1928" w:type="dxa"/>
            <w:tcBorders>
              <w:top w:val="single" w:color="auto" w:sz="4" w:space="0"/>
              <w:left w:val="single" w:color="auto" w:sz="4" w:space="0"/>
              <w:bottom w:val="single" w:color="auto" w:sz="4" w:space="0"/>
              <w:right w:val="single" w:color="auto" w:sz="4" w:space="0"/>
            </w:tcBorders>
            <w:vAlign w:val="center"/>
          </w:tcPr>
          <w:p>
            <w:pPr>
              <w:widowControl/>
              <w:autoSpaceDN w:val="0"/>
              <w:rPr>
                <w:rFonts w:ascii="方正仿宋简体" w:eastAsia="方正仿宋简体" w:cs="方正仿宋简体"/>
                <w:kern w:val="0"/>
                <w:szCs w:val="21"/>
              </w:rPr>
            </w:pPr>
            <w:r>
              <w:rPr>
                <w:rFonts w:hint="eastAsia" w:ascii="方正仿宋简体" w:eastAsia="方正仿宋_GBK" w:cs="方正仿宋简体"/>
                <w:kern w:val="0"/>
                <w:szCs w:val="21"/>
              </w:rPr>
              <w:t>尚未发生拖欠工资行为的</w:t>
            </w:r>
          </w:p>
        </w:tc>
        <w:tc>
          <w:tcPr>
            <w:tcW w:w="1984" w:type="dxa"/>
            <w:tcBorders>
              <w:top w:val="single" w:color="auto" w:sz="4" w:space="0"/>
              <w:left w:val="single" w:color="auto" w:sz="4" w:space="0"/>
              <w:bottom w:val="single" w:color="auto" w:sz="4" w:space="0"/>
              <w:right w:val="single" w:color="auto" w:sz="4" w:space="0"/>
            </w:tcBorders>
            <w:vAlign w:val="center"/>
          </w:tcPr>
          <w:p>
            <w:pPr>
              <w:autoSpaceDN w:val="0"/>
              <w:rPr>
                <w:rFonts w:ascii="方正仿宋简体" w:eastAsia="方正仿宋简体" w:cs="方正仿宋简体"/>
                <w:kern w:val="0"/>
                <w:szCs w:val="21"/>
              </w:rPr>
            </w:pPr>
            <w:r>
              <w:rPr>
                <w:rFonts w:hint="eastAsia" w:ascii="方正仿宋简体" w:eastAsia="方正仿宋_GBK" w:cs="方正仿宋简体"/>
                <w:kern w:val="0"/>
                <w:szCs w:val="21"/>
              </w:rPr>
              <w:t>处5万元以上6.5万元以下罚款</w:t>
            </w:r>
          </w:p>
        </w:tc>
        <w:tc>
          <w:tcPr>
            <w:tcW w:w="1191" w:type="dxa"/>
            <w:vMerge w:val="restart"/>
            <w:tcBorders>
              <w:top w:val="single" w:color="auto" w:sz="4" w:space="0"/>
              <w:left w:val="single" w:color="auto" w:sz="4" w:space="0"/>
              <w:bottom w:val="single" w:color="auto" w:sz="4" w:space="0"/>
              <w:right w:val="single" w:color="auto" w:sz="4" w:space="0"/>
            </w:tcBorders>
            <w:vAlign w:val="center"/>
          </w:tcPr>
          <w:p>
            <w:pPr>
              <w:autoSpaceDN w:val="0"/>
              <w:rPr>
                <w:rFonts w:eastAsia="仿宋_GB2312"/>
                <w:kern w:val="0"/>
                <w:szCs w:val="21"/>
              </w:rPr>
            </w:pPr>
            <w:r>
              <w:rPr>
                <w:rFonts w:hint="eastAsia" w:ascii="方正仿宋简体" w:eastAsia="方正仿宋_GBK" w:cs="方正仿宋简体"/>
                <w:kern w:val="0"/>
                <w:szCs w:val="21"/>
              </w:rPr>
              <w:t>相关行业工程建设主管部门按照职责责令限期改正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35" w:hRule="atLeast"/>
          <w:jc w:val="center"/>
        </w:trPr>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3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3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8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191" w:type="dxa"/>
            <w:tcBorders>
              <w:top w:val="single" w:color="auto" w:sz="4" w:space="0"/>
              <w:left w:val="single" w:color="auto" w:sz="4" w:space="0"/>
              <w:bottom w:val="single" w:color="auto" w:sz="4" w:space="0"/>
              <w:right w:val="single" w:color="auto" w:sz="4" w:space="0"/>
            </w:tcBorders>
            <w:vAlign w:val="center"/>
          </w:tcPr>
          <w:p>
            <w:pPr>
              <w:autoSpaceDN w:val="0"/>
              <w:spacing w:line="271" w:lineRule="auto"/>
              <w:jc w:val="center"/>
              <w:rPr>
                <w:rFonts w:ascii="方正仿宋简体" w:eastAsia="方正仿宋简体" w:cs="方正仿宋简体"/>
                <w:kern w:val="0"/>
                <w:szCs w:val="21"/>
              </w:rPr>
            </w:pPr>
            <w:r>
              <w:rPr>
                <w:rFonts w:hint="eastAsia" w:ascii="方正仿宋简体" w:eastAsia="方正仿宋_GBK" w:cs="方正仿宋简体"/>
                <w:szCs w:val="21"/>
              </w:rPr>
              <w:t>较重</w:t>
            </w:r>
          </w:p>
        </w:tc>
        <w:tc>
          <w:tcPr>
            <w:tcW w:w="1928" w:type="dxa"/>
            <w:tcBorders>
              <w:top w:val="single" w:color="auto" w:sz="4" w:space="0"/>
              <w:left w:val="single" w:color="auto" w:sz="4" w:space="0"/>
              <w:bottom w:val="single" w:color="auto" w:sz="4" w:space="0"/>
              <w:right w:val="single" w:color="auto" w:sz="4" w:space="0"/>
            </w:tcBorders>
            <w:vAlign w:val="center"/>
          </w:tcPr>
          <w:p>
            <w:pPr>
              <w:widowControl/>
              <w:autoSpaceDN w:val="0"/>
              <w:rPr>
                <w:rFonts w:ascii="方正仿宋简体" w:eastAsia="方正仿宋简体" w:cs="方正仿宋简体"/>
                <w:kern w:val="0"/>
                <w:szCs w:val="21"/>
              </w:rPr>
            </w:pPr>
            <w:r>
              <w:rPr>
                <w:rFonts w:hint="eastAsia" w:ascii="方正仿宋简体" w:eastAsia="方正仿宋_GBK" w:cs="方正仿宋简体"/>
                <w:kern w:val="0"/>
                <w:szCs w:val="21"/>
              </w:rPr>
              <w:t>发生拖欠工资行为的</w:t>
            </w:r>
          </w:p>
        </w:tc>
        <w:tc>
          <w:tcPr>
            <w:tcW w:w="1984" w:type="dxa"/>
            <w:tcBorders>
              <w:top w:val="single" w:color="auto" w:sz="4" w:space="0"/>
              <w:left w:val="single" w:color="auto" w:sz="4" w:space="0"/>
              <w:bottom w:val="single" w:color="auto" w:sz="4" w:space="0"/>
              <w:right w:val="single" w:color="auto" w:sz="4" w:space="0"/>
            </w:tcBorders>
            <w:vAlign w:val="center"/>
          </w:tcPr>
          <w:p>
            <w:pPr>
              <w:autoSpaceDN w:val="0"/>
              <w:rPr>
                <w:rFonts w:ascii="方正仿宋简体" w:eastAsia="方正仿宋简体" w:cs="方正仿宋简体"/>
                <w:kern w:val="0"/>
                <w:szCs w:val="21"/>
              </w:rPr>
            </w:pPr>
            <w:r>
              <w:rPr>
                <w:rFonts w:hint="eastAsia" w:ascii="方正仿宋简体" w:eastAsia="方正仿宋_GBK" w:cs="方正仿宋简体"/>
                <w:kern w:val="0"/>
                <w:szCs w:val="21"/>
              </w:rPr>
              <w:t>处6.5万元以上8.5万元以下罚款</w:t>
            </w:r>
          </w:p>
        </w:tc>
        <w:tc>
          <w:tcPr>
            <w:tcW w:w="11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35" w:hRule="atLeast"/>
          <w:jc w:val="center"/>
        </w:trPr>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3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3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8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191" w:type="dxa"/>
            <w:tcBorders>
              <w:top w:val="single" w:color="auto" w:sz="4" w:space="0"/>
              <w:left w:val="single" w:color="auto" w:sz="4" w:space="0"/>
              <w:bottom w:val="single" w:color="auto" w:sz="4" w:space="0"/>
              <w:right w:val="single" w:color="auto" w:sz="4" w:space="0"/>
            </w:tcBorders>
            <w:vAlign w:val="center"/>
          </w:tcPr>
          <w:p>
            <w:pPr>
              <w:autoSpaceDN w:val="0"/>
              <w:spacing w:line="271" w:lineRule="auto"/>
              <w:jc w:val="center"/>
              <w:rPr>
                <w:rFonts w:ascii="方正仿宋简体" w:eastAsia="方正仿宋简体" w:cs="方正仿宋简体"/>
                <w:kern w:val="0"/>
                <w:szCs w:val="21"/>
              </w:rPr>
            </w:pPr>
            <w:r>
              <w:rPr>
                <w:rFonts w:hint="eastAsia" w:ascii="方正仿宋简体" w:eastAsia="方正仿宋简体" w:cs="方正仿宋简体"/>
                <w:szCs w:val="21"/>
              </w:rPr>
              <w:t>严重</w:t>
            </w:r>
          </w:p>
        </w:tc>
        <w:tc>
          <w:tcPr>
            <w:tcW w:w="1928" w:type="dxa"/>
            <w:tcBorders>
              <w:top w:val="single" w:color="auto" w:sz="4" w:space="0"/>
              <w:left w:val="single" w:color="auto" w:sz="4" w:space="0"/>
              <w:bottom w:val="single" w:color="auto" w:sz="4" w:space="0"/>
              <w:right w:val="single" w:color="auto" w:sz="4" w:space="0"/>
            </w:tcBorders>
            <w:vAlign w:val="center"/>
          </w:tcPr>
          <w:p>
            <w:pPr>
              <w:widowControl/>
              <w:autoSpaceDN w:val="0"/>
              <w:rPr>
                <w:rFonts w:ascii="方正仿宋简体" w:eastAsia="方正仿宋简体" w:cs="方正仿宋简体"/>
                <w:kern w:val="0"/>
                <w:szCs w:val="21"/>
              </w:rPr>
            </w:pPr>
            <w:r>
              <w:rPr>
                <w:rFonts w:hint="eastAsia" w:ascii="方正仿宋简体" w:eastAsia="方正仿宋_GBK" w:cs="方正仿宋简体"/>
                <w:kern w:val="0"/>
                <w:szCs w:val="21"/>
              </w:rPr>
              <w:t>发生群体性讨薪行为的</w:t>
            </w:r>
          </w:p>
        </w:tc>
        <w:tc>
          <w:tcPr>
            <w:tcW w:w="1984" w:type="dxa"/>
            <w:tcBorders>
              <w:top w:val="single" w:color="auto" w:sz="4" w:space="0"/>
              <w:left w:val="single" w:color="auto" w:sz="4" w:space="0"/>
              <w:bottom w:val="single" w:color="auto" w:sz="4" w:space="0"/>
              <w:right w:val="single" w:color="auto" w:sz="4" w:space="0"/>
            </w:tcBorders>
            <w:vAlign w:val="center"/>
          </w:tcPr>
          <w:p>
            <w:pPr>
              <w:autoSpaceDN w:val="0"/>
              <w:rPr>
                <w:rFonts w:ascii="方正仿宋简体" w:eastAsia="方正仿宋简体" w:cs="方正仿宋简体"/>
                <w:kern w:val="0"/>
                <w:szCs w:val="21"/>
              </w:rPr>
            </w:pPr>
            <w:r>
              <w:rPr>
                <w:rFonts w:hint="eastAsia" w:ascii="方正仿宋简体" w:eastAsia="方正仿宋_GBK" w:cs="方正仿宋简体"/>
                <w:kern w:val="0"/>
                <w:szCs w:val="21"/>
              </w:rPr>
              <w:t>处8.5万元以上10万元以下罚款</w:t>
            </w:r>
          </w:p>
        </w:tc>
        <w:tc>
          <w:tcPr>
            <w:tcW w:w="11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Cs w:val="21"/>
              </w:rPr>
            </w:pPr>
          </w:p>
        </w:tc>
      </w:tr>
    </w:tbl>
    <w:p>
      <w:pPr>
        <w:tabs>
          <w:tab w:val="left" w:pos="13230"/>
        </w:tabs>
        <w:autoSpaceDN w:val="0"/>
        <w:jc w:val="left"/>
        <w:rPr>
          <w:rFonts w:ascii="方正黑体_GBK" w:eastAsia="方正黑体_GBK" w:cs="方正黑体_GBK"/>
          <w:sz w:val="32"/>
          <w:szCs w:val="32"/>
        </w:rPr>
      </w:pPr>
      <w:r>
        <w:rPr>
          <w:rFonts w:hint="eastAsia" w:ascii="方正黑体_GBK" w:eastAsia="方正黑体_GBK" w:cs="方正黑体_GBK"/>
          <w:sz w:val="32"/>
          <w:szCs w:val="32"/>
        </w:rPr>
        <w:br w:type="page"/>
      </w:r>
      <w:r>
        <w:rPr>
          <w:rFonts w:hint="eastAsia" w:ascii="方正黑体_GBK" w:eastAsia="方正黑体_GBK" w:cs="方正黑体_GBK"/>
          <w:sz w:val="32"/>
          <w:szCs w:val="32"/>
        </w:rPr>
        <w:t>《保障农民工工资支付条例》</w:t>
      </w:r>
    </w:p>
    <w:tbl>
      <w:tblPr>
        <w:tblStyle w:val="8"/>
        <w:tblW w:w="1457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80"/>
        <w:gridCol w:w="1361"/>
        <w:gridCol w:w="1304"/>
        <w:gridCol w:w="2948"/>
        <w:gridCol w:w="1984"/>
        <w:gridCol w:w="1191"/>
        <w:gridCol w:w="1928"/>
        <w:gridCol w:w="1984"/>
        <w:gridCol w:w="119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80"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序号</w:t>
            </w:r>
          </w:p>
        </w:tc>
        <w:tc>
          <w:tcPr>
            <w:tcW w:w="1361"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基准编号</w:t>
            </w:r>
          </w:p>
        </w:tc>
        <w:tc>
          <w:tcPr>
            <w:tcW w:w="1304"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违法行为</w:t>
            </w:r>
          </w:p>
        </w:tc>
        <w:tc>
          <w:tcPr>
            <w:tcW w:w="2948"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违反条款</w:t>
            </w:r>
          </w:p>
        </w:tc>
        <w:tc>
          <w:tcPr>
            <w:tcW w:w="1984"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处罚依据</w:t>
            </w:r>
          </w:p>
        </w:tc>
        <w:tc>
          <w:tcPr>
            <w:tcW w:w="1191"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裁量幅度</w:t>
            </w:r>
          </w:p>
        </w:tc>
        <w:tc>
          <w:tcPr>
            <w:tcW w:w="1928"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违法情节和后果</w:t>
            </w:r>
          </w:p>
        </w:tc>
        <w:tc>
          <w:tcPr>
            <w:tcW w:w="1984"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处罚裁量基准</w:t>
            </w:r>
          </w:p>
        </w:tc>
        <w:tc>
          <w:tcPr>
            <w:tcW w:w="1191"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其他处理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35" w:hRule="atLeast"/>
          <w:jc w:val="center"/>
        </w:trPr>
        <w:tc>
          <w:tcPr>
            <w:tcW w:w="680" w:type="dxa"/>
            <w:vMerge w:val="restart"/>
            <w:tcBorders>
              <w:top w:val="single" w:color="auto" w:sz="4" w:space="0"/>
              <w:left w:val="single" w:color="auto" w:sz="4" w:space="0"/>
              <w:bottom w:val="single" w:color="auto" w:sz="4" w:space="0"/>
              <w:right w:val="single" w:color="auto" w:sz="4" w:space="0"/>
            </w:tcBorders>
            <w:vAlign w:val="center"/>
          </w:tcPr>
          <w:p>
            <w:pPr>
              <w:widowControl/>
              <w:autoSpaceDN w:val="0"/>
              <w:jc w:val="center"/>
              <w:rPr>
                <w:rFonts w:ascii="方正仿宋简体" w:eastAsia="方正仿宋简体" w:cs="方正仿宋简体"/>
                <w:kern w:val="0"/>
                <w:szCs w:val="21"/>
              </w:rPr>
            </w:pPr>
            <w:r>
              <w:rPr>
                <w:rFonts w:hint="eastAsia" w:ascii="方正仿宋简体" w:eastAsia="方正仿宋_GBK" w:cs="方正仿宋简体"/>
                <w:kern w:val="0"/>
                <w:szCs w:val="21"/>
              </w:rPr>
              <w:t>316</w:t>
            </w:r>
          </w:p>
        </w:tc>
        <w:tc>
          <w:tcPr>
            <w:tcW w:w="1361" w:type="dxa"/>
            <w:vMerge w:val="restart"/>
            <w:tcBorders>
              <w:top w:val="single" w:color="auto" w:sz="4" w:space="0"/>
              <w:left w:val="single" w:color="auto" w:sz="4" w:space="0"/>
              <w:bottom w:val="single" w:color="auto" w:sz="4" w:space="0"/>
              <w:right w:val="single" w:color="auto" w:sz="4" w:space="0"/>
            </w:tcBorders>
            <w:vAlign w:val="center"/>
          </w:tcPr>
          <w:p>
            <w:pPr>
              <w:widowControl/>
              <w:autoSpaceDN w:val="0"/>
              <w:jc w:val="center"/>
              <w:rPr>
                <w:rFonts w:ascii="方正仿宋简体" w:eastAsia="方正仿宋简体" w:cs="方正仿宋简体"/>
                <w:kern w:val="0"/>
                <w:szCs w:val="21"/>
              </w:rPr>
            </w:pPr>
            <w:r>
              <w:rPr>
                <w:rFonts w:hint="eastAsia" w:ascii="方正仿宋简体" w:eastAsia="方正仿宋_GBK" w:cs="方正仿宋简体"/>
                <w:szCs w:val="21"/>
              </w:rPr>
              <w:t>G070105603</w:t>
            </w:r>
          </w:p>
        </w:tc>
        <w:tc>
          <w:tcPr>
            <w:tcW w:w="1304" w:type="dxa"/>
            <w:vMerge w:val="restart"/>
            <w:tcBorders>
              <w:top w:val="single" w:color="auto" w:sz="4" w:space="0"/>
              <w:left w:val="single" w:color="auto" w:sz="4" w:space="0"/>
              <w:bottom w:val="single" w:color="auto" w:sz="4" w:space="0"/>
              <w:right w:val="single" w:color="auto" w:sz="4" w:space="0"/>
            </w:tcBorders>
            <w:vAlign w:val="center"/>
          </w:tcPr>
          <w:p>
            <w:pPr>
              <w:widowControl/>
              <w:autoSpaceDN w:val="0"/>
              <w:rPr>
                <w:rFonts w:ascii="方正仿宋简体" w:eastAsia="方正仿宋简体" w:cs="方正仿宋简体"/>
                <w:kern w:val="0"/>
                <w:szCs w:val="21"/>
              </w:rPr>
            </w:pPr>
            <w:r>
              <w:rPr>
                <w:rFonts w:hint="eastAsia" w:ascii="方正仿宋简体" w:eastAsia="方正仿宋_GBK" w:cs="方正仿宋简体"/>
                <w:kern w:val="0"/>
                <w:szCs w:val="21"/>
              </w:rPr>
              <w:t>分包单位未配合施工总承包单位对其劳动用工进行监督管理的</w:t>
            </w:r>
          </w:p>
        </w:tc>
        <w:tc>
          <w:tcPr>
            <w:tcW w:w="2948" w:type="dxa"/>
            <w:vMerge w:val="restart"/>
            <w:tcBorders>
              <w:top w:val="single" w:color="auto" w:sz="4" w:space="0"/>
              <w:left w:val="single" w:color="auto" w:sz="4" w:space="0"/>
              <w:bottom w:val="single" w:color="auto" w:sz="4" w:space="0"/>
              <w:right w:val="single" w:color="auto" w:sz="4" w:space="0"/>
            </w:tcBorders>
            <w:vAlign w:val="center"/>
          </w:tcPr>
          <w:p>
            <w:pPr>
              <w:widowControl/>
              <w:autoSpaceDN w:val="0"/>
              <w:rPr>
                <w:rFonts w:ascii="方正仿宋简体" w:eastAsia="方正仿宋_GBK" w:cs="方正仿宋简体"/>
                <w:kern w:val="0"/>
                <w:szCs w:val="21"/>
              </w:rPr>
            </w:pPr>
            <w:r>
              <w:rPr>
                <w:rFonts w:hint="eastAsia" w:ascii="方正仿宋简体" w:eastAsia="方正仿宋_GBK" w:cs="方正仿宋简体"/>
                <w:kern w:val="0"/>
                <w:szCs w:val="21"/>
              </w:rPr>
              <w:t>《保障农民工工资支付条例》第三十条 分包单位对所招用农民工的实名制管理和工资支付负直接责任。</w:t>
            </w:r>
          </w:p>
          <w:p>
            <w:pPr>
              <w:widowControl/>
              <w:autoSpaceDN w:val="0"/>
              <w:rPr>
                <w:rFonts w:ascii="方正仿宋简体" w:eastAsia="方正仿宋_GBK" w:cs="方正仿宋简体"/>
                <w:kern w:val="0"/>
                <w:szCs w:val="21"/>
              </w:rPr>
            </w:pPr>
            <w:r>
              <w:rPr>
                <w:rFonts w:hint="eastAsia" w:ascii="方正仿宋简体" w:eastAsia="方正仿宋_GBK" w:cs="方正仿宋简体"/>
                <w:kern w:val="0"/>
                <w:szCs w:val="21"/>
              </w:rPr>
              <w:t>施工总承包单位对分包单位劳动用工和工资发放等情况进行监督。</w:t>
            </w:r>
          </w:p>
          <w:p>
            <w:pPr>
              <w:widowControl/>
              <w:autoSpaceDN w:val="0"/>
              <w:rPr>
                <w:rFonts w:ascii="方正仿宋简体" w:eastAsia="方正仿宋_GBK" w:cs="方正仿宋简体"/>
                <w:kern w:val="0"/>
                <w:szCs w:val="21"/>
              </w:rPr>
            </w:pPr>
            <w:r>
              <w:rPr>
                <w:rFonts w:hint="eastAsia" w:ascii="方正仿宋简体" w:eastAsia="方正仿宋_GBK" w:cs="方正仿宋简体"/>
                <w:kern w:val="0"/>
                <w:szCs w:val="21"/>
              </w:rPr>
              <w:t>分包单位拖欠农民工工资的，由施工总承包单位先行清偿，再依法进行追偿。</w:t>
            </w:r>
          </w:p>
          <w:p>
            <w:pPr>
              <w:widowControl/>
              <w:autoSpaceDN w:val="0"/>
              <w:rPr>
                <w:rFonts w:ascii="方正仿宋简体" w:eastAsia="方正仿宋简体" w:cs="方正仿宋简体"/>
                <w:kern w:val="0"/>
                <w:szCs w:val="21"/>
              </w:rPr>
            </w:pPr>
            <w:r>
              <w:rPr>
                <w:rFonts w:hint="eastAsia" w:ascii="方正仿宋简体" w:eastAsia="方正仿宋_GBK" w:cs="方正仿宋简体"/>
                <w:kern w:val="0"/>
                <w:szCs w:val="21"/>
              </w:rPr>
              <w:t>工程建设项目转包，拖欠农民工工资的，由施工总承包单位先行清偿，再依法进行追偿。</w:t>
            </w:r>
          </w:p>
        </w:tc>
        <w:tc>
          <w:tcPr>
            <w:tcW w:w="1984" w:type="dxa"/>
            <w:vMerge w:val="restart"/>
            <w:tcBorders>
              <w:top w:val="single" w:color="auto" w:sz="4" w:space="0"/>
              <w:left w:val="single" w:color="auto" w:sz="4" w:space="0"/>
              <w:bottom w:val="single" w:color="auto" w:sz="4" w:space="0"/>
              <w:right w:val="single" w:color="auto" w:sz="4" w:space="0"/>
            </w:tcBorders>
            <w:vAlign w:val="center"/>
          </w:tcPr>
          <w:p>
            <w:pPr>
              <w:widowControl/>
              <w:autoSpaceDN w:val="0"/>
              <w:rPr>
                <w:rFonts w:ascii="方正仿宋简体" w:eastAsia="方正仿宋_GBK" w:cs="方正仿宋简体"/>
                <w:kern w:val="0"/>
                <w:szCs w:val="21"/>
              </w:rPr>
            </w:pPr>
            <w:r>
              <w:rPr>
                <w:rFonts w:hint="eastAsia" w:ascii="方正仿宋简体" w:eastAsia="方正仿宋_GBK" w:cs="方正仿宋简体"/>
                <w:kern w:val="0"/>
                <w:szCs w:val="21"/>
              </w:rPr>
              <w:t>《保障农民工工资支付条例》第五十六条 有下列情形之一的，由相关行业工程建设主管部门按照职责责令限期改正；逾期不改正的，处5万元以上10万元以下的罚款：</w:t>
            </w:r>
          </w:p>
          <w:p>
            <w:pPr>
              <w:widowControl/>
              <w:autoSpaceDN w:val="0"/>
              <w:rPr>
                <w:rFonts w:ascii="方正仿宋简体" w:eastAsia="方正仿宋简体" w:cs="方正仿宋简体"/>
                <w:kern w:val="0"/>
                <w:szCs w:val="21"/>
              </w:rPr>
            </w:pPr>
            <w:r>
              <w:rPr>
                <w:rFonts w:hint="eastAsia" w:ascii="方正仿宋简体" w:eastAsia="方正仿宋_GBK" w:cs="方正仿宋简体"/>
                <w:kern w:val="0"/>
                <w:szCs w:val="21"/>
              </w:rPr>
              <w:t>（三）分包单位未配合施工总承包单位对其劳动用工进行监督管理；</w:t>
            </w:r>
          </w:p>
        </w:tc>
        <w:tc>
          <w:tcPr>
            <w:tcW w:w="1191" w:type="dxa"/>
            <w:tcBorders>
              <w:top w:val="single" w:color="auto" w:sz="4" w:space="0"/>
              <w:left w:val="single" w:color="auto" w:sz="4" w:space="0"/>
              <w:bottom w:val="single" w:color="auto" w:sz="4" w:space="0"/>
              <w:right w:val="single" w:color="auto" w:sz="4" w:space="0"/>
            </w:tcBorders>
            <w:vAlign w:val="center"/>
          </w:tcPr>
          <w:p>
            <w:pPr>
              <w:widowControl/>
              <w:autoSpaceDN w:val="0"/>
              <w:jc w:val="center"/>
              <w:rPr>
                <w:rFonts w:ascii="方正仿宋简体" w:eastAsia="方正仿宋简体" w:cs="方正仿宋简体"/>
                <w:kern w:val="0"/>
                <w:szCs w:val="21"/>
              </w:rPr>
            </w:pPr>
            <w:r>
              <w:rPr>
                <w:rFonts w:hint="eastAsia" w:ascii="方正仿宋简体" w:eastAsia="方正仿宋_GBK" w:cs="方正仿宋简体"/>
                <w:szCs w:val="21"/>
              </w:rPr>
              <w:t>较轻</w:t>
            </w:r>
          </w:p>
        </w:tc>
        <w:tc>
          <w:tcPr>
            <w:tcW w:w="1928" w:type="dxa"/>
            <w:tcBorders>
              <w:top w:val="single" w:color="auto" w:sz="4" w:space="0"/>
              <w:left w:val="single" w:color="auto" w:sz="4" w:space="0"/>
              <w:bottom w:val="single" w:color="auto" w:sz="4" w:space="0"/>
              <w:right w:val="single" w:color="auto" w:sz="4" w:space="0"/>
            </w:tcBorders>
            <w:vAlign w:val="center"/>
          </w:tcPr>
          <w:p>
            <w:pPr>
              <w:widowControl/>
              <w:autoSpaceDN w:val="0"/>
              <w:rPr>
                <w:rFonts w:ascii="方正仿宋简体" w:eastAsia="方正仿宋简体" w:cs="方正仿宋简体"/>
                <w:kern w:val="0"/>
                <w:szCs w:val="21"/>
              </w:rPr>
            </w:pPr>
            <w:r>
              <w:rPr>
                <w:rFonts w:hint="eastAsia" w:ascii="方正仿宋简体" w:eastAsia="方正仿宋_GBK" w:cs="方正仿宋简体"/>
                <w:kern w:val="0"/>
                <w:szCs w:val="21"/>
              </w:rPr>
              <w:t>尚未发生拖欠工资行为的</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autoSpaceDN w:val="0"/>
              <w:rPr>
                <w:rFonts w:ascii="方正仿宋简体" w:eastAsia="方正仿宋简体" w:cs="方正仿宋简体"/>
                <w:kern w:val="0"/>
                <w:szCs w:val="21"/>
              </w:rPr>
            </w:pPr>
            <w:r>
              <w:rPr>
                <w:rFonts w:hint="eastAsia" w:ascii="方正仿宋简体" w:eastAsia="方正仿宋_GBK" w:cs="方正仿宋简体"/>
                <w:kern w:val="0"/>
                <w:szCs w:val="21"/>
              </w:rPr>
              <w:t>处5万元以上6.5万元以下罚款</w:t>
            </w:r>
          </w:p>
        </w:tc>
        <w:tc>
          <w:tcPr>
            <w:tcW w:w="1191" w:type="dxa"/>
            <w:vMerge w:val="restart"/>
            <w:tcBorders>
              <w:top w:val="single" w:color="auto" w:sz="4" w:space="0"/>
              <w:left w:val="single" w:color="auto" w:sz="4" w:space="0"/>
              <w:bottom w:val="single" w:color="auto" w:sz="4" w:space="0"/>
              <w:right w:val="single" w:color="auto" w:sz="4" w:space="0"/>
            </w:tcBorders>
            <w:vAlign w:val="center"/>
          </w:tcPr>
          <w:p>
            <w:pPr>
              <w:widowControl/>
              <w:autoSpaceDN w:val="0"/>
              <w:rPr>
                <w:rFonts w:ascii="方正仿宋简体" w:eastAsia="方正仿宋简体" w:cs="方正仿宋简体"/>
                <w:kern w:val="0"/>
                <w:szCs w:val="21"/>
              </w:rPr>
            </w:pPr>
            <w:r>
              <w:rPr>
                <w:rFonts w:hint="eastAsia" w:ascii="方正仿宋简体" w:eastAsia="方正仿宋_GBK" w:cs="方正仿宋简体"/>
                <w:kern w:val="0"/>
                <w:szCs w:val="21"/>
              </w:rPr>
              <w:t>相关行业工程建设主管部门按照职责责令限期改正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35" w:hRule="atLeast"/>
          <w:jc w:val="center"/>
        </w:trPr>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3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29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9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191" w:type="dxa"/>
            <w:tcBorders>
              <w:top w:val="single" w:color="auto" w:sz="4" w:space="0"/>
              <w:left w:val="single" w:color="auto" w:sz="4" w:space="0"/>
              <w:bottom w:val="single" w:color="auto" w:sz="4" w:space="0"/>
              <w:right w:val="single" w:color="auto" w:sz="4" w:space="0"/>
            </w:tcBorders>
            <w:vAlign w:val="center"/>
          </w:tcPr>
          <w:p>
            <w:pPr>
              <w:autoSpaceDN w:val="0"/>
              <w:spacing w:line="271" w:lineRule="auto"/>
              <w:jc w:val="center"/>
              <w:rPr>
                <w:rFonts w:ascii="方正仿宋简体" w:eastAsia="方正仿宋简体" w:cs="方正仿宋简体"/>
                <w:kern w:val="0"/>
                <w:szCs w:val="21"/>
              </w:rPr>
            </w:pPr>
            <w:r>
              <w:rPr>
                <w:rFonts w:hint="eastAsia" w:ascii="方正仿宋简体" w:eastAsia="方正仿宋_GBK" w:cs="方正仿宋简体"/>
                <w:szCs w:val="21"/>
              </w:rPr>
              <w:t>较重</w:t>
            </w:r>
          </w:p>
        </w:tc>
        <w:tc>
          <w:tcPr>
            <w:tcW w:w="1928" w:type="dxa"/>
            <w:tcBorders>
              <w:top w:val="single" w:color="auto" w:sz="4" w:space="0"/>
              <w:left w:val="single" w:color="auto" w:sz="4" w:space="0"/>
              <w:bottom w:val="single" w:color="auto" w:sz="4" w:space="0"/>
              <w:right w:val="single" w:color="auto" w:sz="4" w:space="0"/>
            </w:tcBorders>
            <w:vAlign w:val="center"/>
          </w:tcPr>
          <w:p>
            <w:pPr>
              <w:widowControl/>
              <w:autoSpaceDN w:val="0"/>
              <w:rPr>
                <w:rFonts w:ascii="方正仿宋简体" w:eastAsia="方正仿宋简体" w:cs="方正仿宋简体"/>
                <w:kern w:val="0"/>
                <w:szCs w:val="21"/>
              </w:rPr>
            </w:pPr>
            <w:r>
              <w:rPr>
                <w:rFonts w:hint="eastAsia" w:ascii="方正仿宋简体" w:eastAsia="方正仿宋_GBK" w:cs="方正仿宋简体"/>
                <w:kern w:val="0"/>
                <w:szCs w:val="21"/>
              </w:rPr>
              <w:t>发生拖欠工资行为的</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autoSpaceDN w:val="0"/>
              <w:rPr>
                <w:rFonts w:ascii="方正仿宋简体" w:eastAsia="方正仿宋简体" w:cs="方正仿宋简体"/>
                <w:kern w:val="0"/>
                <w:szCs w:val="21"/>
              </w:rPr>
            </w:pPr>
            <w:r>
              <w:rPr>
                <w:rFonts w:hint="eastAsia" w:ascii="方正仿宋简体" w:eastAsia="方正仿宋_GBK" w:cs="方正仿宋简体"/>
                <w:kern w:val="0"/>
                <w:szCs w:val="21"/>
              </w:rPr>
              <w:t>处6.5万元以上8.5万元以下罚款</w:t>
            </w:r>
          </w:p>
        </w:tc>
        <w:tc>
          <w:tcPr>
            <w:tcW w:w="11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35" w:hRule="atLeast"/>
          <w:jc w:val="center"/>
        </w:trPr>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3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29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9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191" w:type="dxa"/>
            <w:tcBorders>
              <w:top w:val="single" w:color="auto" w:sz="4" w:space="0"/>
              <w:left w:val="single" w:color="auto" w:sz="4" w:space="0"/>
              <w:bottom w:val="single" w:color="auto" w:sz="4" w:space="0"/>
              <w:right w:val="single" w:color="auto" w:sz="4" w:space="0"/>
            </w:tcBorders>
            <w:vAlign w:val="center"/>
          </w:tcPr>
          <w:p>
            <w:pPr>
              <w:autoSpaceDN w:val="0"/>
              <w:spacing w:line="271" w:lineRule="auto"/>
              <w:jc w:val="center"/>
              <w:rPr>
                <w:rFonts w:ascii="方正仿宋简体" w:eastAsia="方正仿宋简体" w:cs="方正仿宋简体"/>
                <w:kern w:val="0"/>
                <w:szCs w:val="21"/>
              </w:rPr>
            </w:pPr>
            <w:r>
              <w:rPr>
                <w:rFonts w:hint="eastAsia" w:ascii="方正仿宋简体" w:eastAsia="方正仿宋简体" w:cs="方正仿宋简体"/>
                <w:szCs w:val="21"/>
              </w:rPr>
              <w:t>严重</w:t>
            </w:r>
          </w:p>
        </w:tc>
        <w:tc>
          <w:tcPr>
            <w:tcW w:w="1928" w:type="dxa"/>
            <w:tcBorders>
              <w:top w:val="single" w:color="auto" w:sz="4" w:space="0"/>
              <w:left w:val="single" w:color="auto" w:sz="4" w:space="0"/>
              <w:bottom w:val="single" w:color="auto" w:sz="4" w:space="0"/>
              <w:right w:val="single" w:color="auto" w:sz="4" w:space="0"/>
            </w:tcBorders>
            <w:vAlign w:val="center"/>
          </w:tcPr>
          <w:p>
            <w:pPr>
              <w:widowControl/>
              <w:autoSpaceDN w:val="0"/>
              <w:rPr>
                <w:rFonts w:ascii="方正仿宋简体" w:eastAsia="方正仿宋简体" w:cs="方正仿宋简体"/>
                <w:kern w:val="0"/>
                <w:szCs w:val="21"/>
              </w:rPr>
            </w:pPr>
            <w:r>
              <w:rPr>
                <w:rFonts w:hint="eastAsia" w:ascii="方正仿宋简体" w:eastAsia="方正仿宋_GBK" w:cs="方正仿宋简体"/>
                <w:kern w:val="0"/>
                <w:szCs w:val="21"/>
              </w:rPr>
              <w:t>发生群体性讨薪行为的</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autoSpaceDN w:val="0"/>
              <w:rPr>
                <w:rFonts w:ascii="方正仿宋简体" w:eastAsia="方正仿宋简体" w:cs="方正仿宋简体"/>
                <w:kern w:val="0"/>
                <w:szCs w:val="21"/>
              </w:rPr>
            </w:pPr>
            <w:r>
              <w:rPr>
                <w:rFonts w:hint="eastAsia" w:ascii="方正仿宋简体" w:eastAsia="方正仿宋_GBK" w:cs="方正仿宋简体"/>
                <w:kern w:val="0"/>
                <w:szCs w:val="21"/>
              </w:rPr>
              <w:t>处8.5万元以上10万元以下罚款</w:t>
            </w:r>
          </w:p>
        </w:tc>
        <w:tc>
          <w:tcPr>
            <w:tcW w:w="11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r>
    </w:tbl>
    <w:p>
      <w:pPr>
        <w:tabs>
          <w:tab w:val="left" w:pos="13230"/>
        </w:tabs>
        <w:autoSpaceDN w:val="0"/>
        <w:jc w:val="left"/>
        <w:rPr>
          <w:rFonts w:ascii="方正黑体_GBK" w:eastAsia="方正黑体_GBK" w:cs="方正黑体_GBK"/>
          <w:sz w:val="32"/>
          <w:szCs w:val="32"/>
        </w:rPr>
      </w:pPr>
      <w:r>
        <w:rPr>
          <w:rFonts w:hint="eastAsia" w:ascii="方正黑体_GBK" w:eastAsia="方正黑体_GBK" w:cs="方正黑体_GBK"/>
          <w:sz w:val="32"/>
          <w:szCs w:val="32"/>
        </w:rPr>
        <w:br w:type="page"/>
      </w:r>
      <w:r>
        <w:rPr>
          <w:rFonts w:hint="eastAsia" w:ascii="方正黑体_GBK" w:eastAsia="方正黑体_GBK" w:cs="方正黑体_GBK"/>
          <w:sz w:val="32"/>
          <w:szCs w:val="32"/>
        </w:rPr>
        <w:t>《保障农民工工资支付条例》</w:t>
      </w:r>
    </w:p>
    <w:tbl>
      <w:tblPr>
        <w:tblStyle w:val="8"/>
        <w:tblW w:w="1457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80"/>
        <w:gridCol w:w="1361"/>
        <w:gridCol w:w="1304"/>
        <w:gridCol w:w="2948"/>
        <w:gridCol w:w="1984"/>
        <w:gridCol w:w="1191"/>
        <w:gridCol w:w="1928"/>
        <w:gridCol w:w="1984"/>
        <w:gridCol w:w="119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80"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序号</w:t>
            </w:r>
          </w:p>
        </w:tc>
        <w:tc>
          <w:tcPr>
            <w:tcW w:w="1361"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基准编号</w:t>
            </w:r>
          </w:p>
        </w:tc>
        <w:tc>
          <w:tcPr>
            <w:tcW w:w="1304"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违法行为</w:t>
            </w:r>
          </w:p>
        </w:tc>
        <w:tc>
          <w:tcPr>
            <w:tcW w:w="2948"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违反条款</w:t>
            </w:r>
          </w:p>
        </w:tc>
        <w:tc>
          <w:tcPr>
            <w:tcW w:w="1984"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处罚依据</w:t>
            </w:r>
          </w:p>
        </w:tc>
        <w:tc>
          <w:tcPr>
            <w:tcW w:w="1191"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裁量幅度</w:t>
            </w:r>
          </w:p>
        </w:tc>
        <w:tc>
          <w:tcPr>
            <w:tcW w:w="1928"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违法情节和后果</w:t>
            </w:r>
          </w:p>
        </w:tc>
        <w:tc>
          <w:tcPr>
            <w:tcW w:w="1984"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处罚裁量基准</w:t>
            </w:r>
          </w:p>
        </w:tc>
        <w:tc>
          <w:tcPr>
            <w:tcW w:w="1191"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其他处理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35" w:hRule="atLeast"/>
          <w:jc w:val="center"/>
        </w:trPr>
        <w:tc>
          <w:tcPr>
            <w:tcW w:w="680" w:type="dxa"/>
            <w:vMerge w:val="restart"/>
            <w:tcBorders>
              <w:top w:val="single" w:color="auto" w:sz="4" w:space="0"/>
              <w:left w:val="single" w:color="auto" w:sz="4" w:space="0"/>
              <w:bottom w:val="single" w:color="auto" w:sz="4" w:space="0"/>
              <w:right w:val="single" w:color="auto" w:sz="4" w:space="0"/>
            </w:tcBorders>
            <w:vAlign w:val="center"/>
          </w:tcPr>
          <w:p>
            <w:pPr>
              <w:widowControl/>
              <w:autoSpaceDN w:val="0"/>
              <w:jc w:val="center"/>
              <w:rPr>
                <w:rFonts w:ascii="方正仿宋简体" w:eastAsia="方正仿宋简体" w:cs="方正仿宋简体"/>
                <w:kern w:val="0"/>
                <w:szCs w:val="21"/>
              </w:rPr>
            </w:pPr>
            <w:r>
              <w:rPr>
                <w:rFonts w:hint="eastAsia" w:ascii="方正仿宋简体" w:eastAsia="方正仿宋_GBK" w:cs="方正仿宋简体"/>
                <w:kern w:val="0"/>
                <w:szCs w:val="21"/>
              </w:rPr>
              <w:t>317</w:t>
            </w:r>
          </w:p>
        </w:tc>
        <w:tc>
          <w:tcPr>
            <w:tcW w:w="1361" w:type="dxa"/>
            <w:vMerge w:val="restart"/>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kern w:val="0"/>
                <w:szCs w:val="21"/>
              </w:rPr>
            </w:pPr>
            <w:r>
              <w:rPr>
                <w:rFonts w:hint="eastAsia" w:ascii="方正仿宋简体" w:eastAsia="方正仿宋_GBK" w:cs="方正仿宋简体"/>
                <w:szCs w:val="21"/>
              </w:rPr>
              <w:t>G070105604</w:t>
            </w:r>
          </w:p>
        </w:tc>
        <w:tc>
          <w:tcPr>
            <w:tcW w:w="1304" w:type="dxa"/>
            <w:vMerge w:val="restart"/>
            <w:tcBorders>
              <w:top w:val="single" w:color="auto" w:sz="4" w:space="0"/>
              <w:left w:val="single" w:color="auto" w:sz="4" w:space="0"/>
              <w:bottom w:val="single" w:color="auto" w:sz="4" w:space="0"/>
              <w:right w:val="single" w:color="auto" w:sz="4" w:space="0"/>
            </w:tcBorders>
            <w:vAlign w:val="center"/>
          </w:tcPr>
          <w:p>
            <w:pPr>
              <w:autoSpaceDN w:val="0"/>
              <w:rPr>
                <w:rFonts w:ascii="方正仿宋简体" w:eastAsia="方正仿宋简体" w:cs="方正仿宋简体"/>
                <w:kern w:val="0"/>
                <w:szCs w:val="21"/>
              </w:rPr>
            </w:pPr>
            <w:r>
              <w:rPr>
                <w:rFonts w:hint="eastAsia" w:ascii="方正仿宋简体" w:eastAsia="方正仿宋_GBK" w:cs="方正仿宋简体"/>
                <w:kern w:val="0"/>
                <w:szCs w:val="21"/>
              </w:rPr>
              <w:t>施工总承包单位未实行施工现场维权信息公示制度的</w:t>
            </w:r>
          </w:p>
        </w:tc>
        <w:tc>
          <w:tcPr>
            <w:tcW w:w="2948" w:type="dxa"/>
            <w:vMerge w:val="restart"/>
            <w:tcBorders>
              <w:top w:val="single" w:color="auto" w:sz="4" w:space="0"/>
              <w:left w:val="single" w:color="auto" w:sz="4" w:space="0"/>
              <w:bottom w:val="single" w:color="auto" w:sz="4" w:space="0"/>
              <w:right w:val="single" w:color="auto" w:sz="4" w:space="0"/>
            </w:tcBorders>
            <w:vAlign w:val="center"/>
          </w:tcPr>
          <w:p>
            <w:pPr>
              <w:autoSpaceDN w:val="0"/>
              <w:rPr>
                <w:rFonts w:ascii="方正仿宋简体" w:eastAsia="方正仿宋_GBK" w:cs="方正仿宋简体"/>
                <w:kern w:val="0"/>
                <w:szCs w:val="21"/>
              </w:rPr>
            </w:pPr>
            <w:r>
              <w:rPr>
                <w:rFonts w:hint="eastAsia" w:ascii="方正仿宋简体" w:eastAsia="方正仿宋_GBK" w:cs="方正仿宋简体"/>
                <w:kern w:val="0"/>
                <w:szCs w:val="21"/>
              </w:rPr>
              <w:t>《保障农民工工资支付条例》第三十四条 施工总承包单位应当在施工现场醒目位置设立维权信息告示牌，明示下列事项：</w:t>
            </w:r>
          </w:p>
          <w:p>
            <w:pPr>
              <w:autoSpaceDN w:val="0"/>
              <w:rPr>
                <w:rFonts w:ascii="方正仿宋简体" w:eastAsia="方正仿宋_GBK" w:cs="方正仿宋简体"/>
                <w:kern w:val="0"/>
                <w:szCs w:val="21"/>
              </w:rPr>
            </w:pPr>
            <w:r>
              <w:rPr>
                <w:rFonts w:hint="eastAsia" w:ascii="方正仿宋简体" w:eastAsia="方正仿宋_GBK" w:cs="方正仿宋简体"/>
                <w:kern w:val="0"/>
                <w:szCs w:val="21"/>
              </w:rPr>
              <w:t>（一）建设单位、施工总承包单位及所在项目部、分包单位、相关行业工程建设主管部门、劳资专管员等基本信息；</w:t>
            </w:r>
          </w:p>
          <w:p>
            <w:pPr>
              <w:autoSpaceDN w:val="0"/>
              <w:rPr>
                <w:rFonts w:ascii="方正仿宋简体" w:eastAsia="方正仿宋_GBK" w:cs="方正仿宋简体"/>
                <w:kern w:val="0"/>
                <w:szCs w:val="21"/>
              </w:rPr>
            </w:pPr>
            <w:r>
              <w:rPr>
                <w:rFonts w:hint="eastAsia" w:ascii="方正仿宋简体" w:eastAsia="方正仿宋_GBK" w:cs="方正仿宋简体"/>
                <w:kern w:val="0"/>
                <w:szCs w:val="21"/>
              </w:rPr>
              <w:t>（二）当地最低工资标准、工资支付日期等基本信息；</w:t>
            </w:r>
          </w:p>
          <w:p>
            <w:pPr>
              <w:autoSpaceDN w:val="0"/>
              <w:rPr>
                <w:rFonts w:ascii="方正仿宋简体" w:eastAsia="方正仿宋简体" w:cs="方正仿宋简体"/>
                <w:kern w:val="0"/>
                <w:szCs w:val="21"/>
              </w:rPr>
            </w:pPr>
            <w:r>
              <w:rPr>
                <w:rFonts w:hint="eastAsia" w:ascii="方正仿宋简体" w:eastAsia="方正仿宋_GBK" w:cs="方正仿宋简体"/>
                <w:kern w:val="0"/>
                <w:szCs w:val="21"/>
              </w:rPr>
              <w:t>（三）相关行业工程建设主管部门和劳动保障监察投诉举报电话、劳动争议调解仲裁申请渠道、法律援助申请渠道、公共法律服务热线等信息。</w:t>
            </w:r>
          </w:p>
        </w:tc>
        <w:tc>
          <w:tcPr>
            <w:tcW w:w="1984" w:type="dxa"/>
            <w:vMerge w:val="restart"/>
            <w:tcBorders>
              <w:top w:val="single" w:color="auto" w:sz="4" w:space="0"/>
              <w:left w:val="single" w:color="auto" w:sz="4" w:space="0"/>
              <w:bottom w:val="single" w:color="auto" w:sz="4" w:space="0"/>
              <w:right w:val="single" w:color="auto" w:sz="4" w:space="0"/>
            </w:tcBorders>
            <w:vAlign w:val="center"/>
          </w:tcPr>
          <w:p>
            <w:pPr>
              <w:autoSpaceDN w:val="0"/>
              <w:rPr>
                <w:rFonts w:ascii="方正仿宋简体" w:eastAsia="方正仿宋_GBK" w:cs="方正仿宋简体"/>
                <w:kern w:val="0"/>
                <w:szCs w:val="21"/>
              </w:rPr>
            </w:pPr>
            <w:r>
              <w:rPr>
                <w:rFonts w:hint="eastAsia" w:ascii="方正仿宋简体" w:eastAsia="方正仿宋_GBK" w:cs="方正仿宋简体"/>
                <w:kern w:val="0"/>
                <w:szCs w:val="21"/>
              </w:rPr>
              <w:t>《保障农民工工资支付条例》第五十六条 有下列情形之一的，由相关行业工程建设主管部门按照职责责令限期改正；逾期不改正的，处5万元以上10万元以下的罚款：</w:t>
            </w:r>
          </w:p>
          <w:p>
            <w:pPr>
              <w:autoSpaceDN w:val="0"/>
              <w:rPr>
                <w:rFonts w:ascii="方正仿宋简体" w:eastAsia="方正仿宋简体" w:cs="方正仿宋简体"/>
                <w:kern w:val="0"/>
                <w:szCs w:val="21"/>
              </w:rPr>
            </w:pPr>
            <w:r>
              <w:rPr>
                <w:rFonts w:hint="eastAsia" w:ascii="方正仿宋简体" w:eastAsia="方正仿宋_GBK" w:cs="方正仿宋简体"/>
                <w:kern w:val="0"/>
                <w:szCs w:val="21"/>
              </w:rPr>
              <w:t>（四）施工总承包单位未实行施工现场维权信息公示制度；</w:t>
            </w:r>
          </w:p>
        </w:tc>
        <w:tc>
          <w:tcPr>
            <w:tcW w:w="1191" w:type="dxa"/>
            <w:tcBorders>
              <w:top w:val="single" w:color="auto" w:sz="4" w:space="0"/>
              <w:left w:val="single" w:color="auto" w:sz="4" w:space="0"/>
              <w:bottom w:val="single" w:color="auto" w:sz="4" w:space="0"/>
              <w:right w:val="single" w:color="auto" w:sz="4" w:space="0"/>
            </w:tcBorders>
            <w:vAlign w:val="center"/>
          </w:tcPr>
          <w:p>
            <w:pPr>
              <w:widowControl/>
              <w:autoSpaceDN w:val="0"/>
              <w:jc w:val="center"/>
              <w:rPr>
                <w:rFonts w:ascii="方正仿宋简体" w:eastAsia="方正仿宋简体" w:cs="方正仿宋简体"/>
                <w:kern w:val="0"/>
                <w:szCs w:val="21"/>
              </w:rPr>
            </w:pPr>
            <w:r>
              <w:rPr>
                <w:rFonts w:hint="eastAsia" w:ascii="方正仿宋简体" w:eastAsia="方正仿宋_GBK" w:cs="方正仿宋简体"/>
                <w:szCs w:val="21"/>
              </w:rPr>
              <w:t>较轻</w:t>
            </w:r>
          </w:p>
        </w:tc>
        <w:tc>
          <w:tcPr>
            <w:tcW w:w="1928" w:type="dxa"/>
            <w:tcBorders>
              <w:top w:val="single" w:color="auto" w:sz="4" w:space="0"/>
              <w:left w:val="single" w:color="auto" w:sz="4" w:space="0"/>
              <w:bottom w:val="single" w:color="auto" w:sz="4" w:space="0"/>
              <w:right w:val="single" w:color="auto" w:sz="4" w:space="0"/>
            </w:tcBorders>
            <w:vAlign w:val="center"/>
          </w:tcPr>
          <w:p>
            <w:pPr>
              <w:widowControl/>
              <w:autoSpaceDN w:val="0"/>
              <w:rPr>
                <w:rFonts w:ascii="方正仿宋简体" w:eastAsia="方正仿宋简体" w:cs="方正仿宋简体"/>
                <w:kern w:val="0"/>
                <w:szCs w:val="21"/>
              </w:rPr>
            </w:pPr>
            <w:r>
              <w:rPr>
                <w:rFonts w:hint="eastAsia" w:ascii="方正仿宋简体" w:eastAsia="方正仿宋_GBK" w:cs="方正仿宋简体"/>
                <w:kern w:val="0"/>
                <w:szCs w:val="21"/>
              </w:rPr>
              <w:t>尚未发生拖欠工资行为的</w:t>
            </w:r>
          </w:p>
        </w:tc>
        <w:tc>
          <w:tcPr>
            <w:tcW w:w="1984" w:type="dxa"/>
            <w:tcBorders>
              <w:top w:val="single" w:color="auto" w:sz="4" w:space="0"/>
              <w:left w:val="single" w:color="auto" w:sz="4" w:space="0"/>
              <w:bottom w:val="single" w:color="auto" w:sz="4" w:space="0"/>
              <w:right w:val="single" w:color="auto" w:sz="4" w:space="0"/>
            </w:tcBorders>
            <w:vAlign w:val="center"/>
          </w:tcPr>
          <w:p>
            <w:pPr>
              <w:autoSpaceDN w:val="0"/>
              <w:rPr>
                <w:rFonts w:ascii="方正仿宋简体" w:eastAsia="方正仿宋简体" w:cs="方正仿宋简体"/>
                <w:kern w:val="0"/>
                <w:szCs w:val="21"/>
              </w:rPr>
            </w:pPr>
            <w:r>
              <w:rPr>
                <w:rFonts w:hint="eastAsia" w:ascii="方正仿宋简体" w:eastAsia="方正仿宋_GBK" w:cs="方正仿宋简体"/>
                <w:kern w:val="0"/>
                <w:szCs w:val="21"/>
              </w:rPr>
              <w:t>处5万元以上6.5万元以下罚款</w:t>
            </w:r>
          </w:p>
        </w:tc>
        <w:tc>
          <w:tcPr>
            <w:tcW w:w="1191" w:type="dxa"/>
            <w:vMerge w:val="restart"/>
            <w:tcBorders>
              <w:top w:val="single" w:color="auto" w:sz="4" w:space="0"/>
              <w:left w:val="single" w:color="auto" w:sz="4" w:space="0"/>
              <w:bottom w:val="single" w:color="auto" w:sz="4" w:space="0"/>
              <w:right w:val="single" w:color="auto" w:sz="4" w:space="0"/>
            </w:tcBorders>
            <w:vAlign w:val="center"/>
          </w:tcPr>
          <w:p>
            <w:pPr>
              <w:autoSpaceDN w:val="0"/>
              <w:rPr>
                <w:rFonts w:ascii="方正仿宋简体" w:eastAsia="方正仿宋简体" w:cs="方正仿宋简体"/>
                <w:kern w:val="0"/>
                <w:szCs w:val="21"/>
              </w:rPr>
            </w:pPr>
            <w:r>
              <w:rPr>
                <w:rFonts w:hint="eastAsia" w:ascii="方正仿宋简体" w:eastAsia="方正仿宋_GBK" w:cs="方正仿宋简体"/>
                <w:kern w:val="0"/>
                <w:szCs w:val="21"/>
              </w:rPr>
              <w:t>相关行业工程建设主管部门按照职责责令限期改正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35" w:hRule="atLeast"/>
          <w:jc w:val="center"/>
        </w:trPr>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3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29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9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191" w:type="dxa"/>
            <w:tcBorders>
              <w:top w:val="single" w:color="auto" w:sz="4" w:space="0"/>
              <w:left w:val="single" w:color="auto" w:sz="4" w:space="0"/>
              <w:bottom w:val="single" w:color="auto" w:sz="4" w:space="0"/>
              <w:right w:val="single" w:color="auto" w:sz="4" w:space="0"/>
            </w:tcBorders>
            <w:vAlign w:val="center"/>
          </w:tcPr>
          <w:p>
            <w:pPr>
              <w:autoSpaceDN w:val="0"/>
              <w:spacing w:line="271" w:lineRule="auto"/>
              <w:jc w:val="center"/>
              <w:rPr>
                <w:rFonts w:ascii="方正仿宋简体" w:eastAsia="方正仿宋简体" w:cs="方正仿宋简体"/>
                <w:kern w:val="0"/>
                <w:szCs w:val="21"/>
              </w:rPr>
            </w:pPr>
            <w:r>
              <w:rPr>
                <w:rFonts w:hint="eastAsia" w:ascii="方正仿宋简体" w:eastAsia="方正仿宋_GBK" w:cs="方正仿宋简体"/>
                <w:szCs w:val="21"/>
              </w:rPr>
              <w:t>较重</w:t>
            </w:r>
          </w:p>
        </w:tc>
        <w:tc>
          <w:tcPr>
            <w:tcW w:w="1928" w:type="dxa"/>
            <w:tcBorders>
              <w:top w:val="single" w:color="auto" w:sz="4" w:space="0"/>
              <w:left w:val="single" w:color="auto" w:sz="4" w:space="0"/>
              <w:bottom w:val="single" w:color="auto" w:sz="4" w:space="0"/>
              <w:right w:val="single" w:color="auto" w:sz="4" w:space="0"/>
            </w:tcBorders>
            <w:vAlign w:val="center"/>
          </w:tcPr>
          <w:p>
            <w:pPr>
              <w:widowControl/>
              <w:autoSpaceDN w:val="0"/>
              <w:rPr>
                <w:rFonts w:ascii="方正仿宋简体" w:eastAsia="方正仿宋简体" w:cs="方正仿宋简体"/>
                <w:kern w:val="0"/>
                <w:szCs w:val="21"/>
              </w:rPr>
            </w:pPr>
            <w:r>
              <w:rPr>
                <w:rFonts w:hint="eastAsia" w:ascii="方正仿宋简体" w:eastAsia="方正仿宋_GBK" w:cs="方正仿宋简体"/>
                <w:kern w:val="0"/>
                <w:szCs w:val="21"/>
              </w:rPr>
              <w:t>发生拖欠工资行为的</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autoSpaceDN w:val="0"/>
              <w:rPr>
                <w:rFonts w:ascii="方正仿宋简体" w:eastAsia="方正仿宋简体" w:cs="方正仿宋简体"/>
                <w:kern w:val="0"/>
                <w:szCs w:val="21"/>
              </w:rPr>
            </w:pPr>
            <w:r>
              <w:rPr>
                <w:rFonts w:hint="eastAsia" w:ascii="方正仿宋简体" w:eastAsia="方正仿宋_GBK" w:cs="方正仿宋简体"/>
                <w:kern w:val="0"/>
                <w:szCs w:val="21"/>
              </w:rPr>
              <w:t>处6.5万元以上8.5万元以下罚款</w:t>
            </w:r>
          </w:p>
        </w:tc>
        <w:tc>
          <w:tcPr>
            <w:tcW w:w="11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35" w:hRule="atLeast"/>
          <w:jc w:val="center"/>
        </w:trPr>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3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29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9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191" w:type="dxa"/>
            <w:tcBorders>
              <w:top w:val="single" w:color="auto" w:sz="4" w:space="0"/>
              <w:left w:val="single" w:color="auto" w:sz="4" w:space="0"/>
              <w:bottom w:val="single" w:color="auto" w:sz="4" w:space="0"/>
              <w:right w:val="single" w:color="auto" w:sz="4" w:space="0"/>
            </w:tcBorders>
            <w:vAlign w:val="center"/>
          </w:tcPr>
          <w:p>
            <w:pPr>
              <w:autoSpaceDN w:val="0"/>
              <w:spacing w:line="271" w:lineRule="auto"/>
              <w:jc w:val="center"/>
              <w:rPr>
                <w:rFonts w:ascii="方正仿宋简体" w:eastAsia="方正仿宋简体" w:cs="方正仿宋简体"/>
                <w:kern w:val="0"/>
                <w:szCs w:val="21"/>
              </w:rPr>
            </w:pPr>
            <w:r>
              <w:rPr>
                <w:rFonts w:hint="eastAsia" w:ascii="方正仿宋简体" w:eastAsia="方正仿宋简体" w:cs="方正仿宋简体"/>
                <w:szCs w:val="21"/>
              </w:rPr>
              <w:t>严重</w:t>
            </w:r>
          </w:p>
        </w:tc>
        <w:tc>
          <w:tcPr>
            <w:tcW w:w="1928" w:type="dxa"/>
            <w:tcBorders>
              <w:top w:val="single" w:color="auto" w:sz="4" w:space="0"/>
              <w:left w:val="single" w:color="auto" w:sz="4" w:space="0"/>
              <w:bottom w:val="single" w:color="auto" w:sz="4" w:space="0"/>
              <w:right w:val="single" w:color="auto" w:sz="4" w:space="0"/>
            </w:tcBorders>
            <w:vAlign w:val="center"/>
          </w:tcPr>
          <w:p>
            <w:pPr>
              <w:widowControl/>
              <w:autoSpaceDN w:val="0"/>
              <w:rPr>
                <w:rFonts w:ascii="方正仿宋简体" w:eastAsia="方正仿宋简体" w:cs="方正仿宋简体"/>
                <w:kern w:val="0"/>
                <w:szCs w:val="21"/>
              </w:rPr>
            </w:pPr>
            <w:r>
              <w:rPr>
                <w:rFonts w:hint="eastAsia" w:ascii="方正仿宋简体" w:eastAsia="方正仿宋_GBK" w:cs="方正仿宋简体"/>
                <w:kern w:val="0"/>
                <w:szCs w:val="21"/>
              </w:rPr>
              <w:t>发生群体性讨薪行为的</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autoSpaceDN w:val="0"/>
              <w:rPr>
                <w:rFonts w:ascii="方正仿宋简体" w:eastAsia="方正仿宋简体" w:cs="方正仿宋简体"/>
                <w:kern w:val="0"/>
                <w:szCs w:val="21"/>
              </w:rPr>
            </w:pPr>
            <w:r>
              <w:rPr>
                <w:rFonts w:hint="eastAsia" w:ascii="方正仿宋简体" w:eastAsia="方正仿宋_GBK" w:cs="方正仿宋简体"/>
                <w:kern w:val="0"/>
                <w:szCs w:val="21"/>
              </w:rPr>
              <w:t>处8.5万元以上10万元以下罚款</w:t>
            </w:r>
          </w:p>
        </w:tc>
        <w:tc>
          <w:tcPr>
            <w:tcW w:w="11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r>
    </w:tbl>
    <w:p>
      <w:pPr>
        <w:tabs>
          <w:tab w:val="left" w:pos="13230"/>
        </w:tabs>
        <w:autoSpaceDN w:val="0"/>
        <w:jc w:val="left"/>
        <w:rPr>
          <w:rFonts w:ascii="方正黑体_GBK" w:eastAsia="方正黑体_GBK" w:cs="方正黑体_GBK"/>
          <w:sz w:val="32"/>
          <w:szCs w:val="32"/>
        </w:rPr>
      </w:pPr>
      <w:r>
        <w:rPr>
          <w:rFonts w:hint="eastAsia" w:ascii="方正黑体_GBK" w:eastAsia="方正黑体_GBK" w:cs="方正黑体_GBK"/>
          <w:sz w:val="32"/>
          <w:szCs w:val="32"/>
        </w:rPr>
        <w:br w:type="page"/>
      </w:r>
      <w:r>
        <w:rPr>
          <w:rFonts w:hint="eastAsia" w:ascii="方正黑体_GBK" w:eastAsia="方正黑体_GBK" w:cs="方正黑体_GBK"/>
          <w:sz w:val="32"/>
          <w:szCs w:val="32"/>
        </w:rPr>
        <w:t>《保障农民工工资支付条例》</w:t>
      </w:r>
    </w:p>
    <w:tbl>
      <w:tblPr>
        <w:tblStyle w:val="8"/>
        <w:tblW w:w="1457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80"/>
        <w:gridCol w:w="1361"/>
        <w:gridCol w:w="1304"/>
        <w:gridCol w:w="2948"/>
        <w:gridCol w:w="1984"/>
        <w:gridCol w:w="1191"/>
        <w:gridCol w:w="1928"/>
        <w:gridCol w:w="1984"/>
        <w:gridCol w:w="119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80"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序号</w:t>
            </w:r>
          </w:p>
        </w:tc>
        <w:tc>
          <w:tcPr>
            <w:tcW w:w="1361"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基准编号</w:t>
            </w:r>
          </w:p>
        </w:tc>
        <w:tc>
          <w:tcPr>
            <w:tcW w:w="1304"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违法行为</w:t>
            </w:r>
          </w:p>
        </w:tc>
        <w:tc>
          <w:tcPr>
            <w:tcW w:w="2948"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违反条款</w:t>
            </w:r>
          </w:p>
        </w:tc>
        <w:tc>
          <w:tcPr>
            <w:tcW w:w="1984"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处罚依据</w:t>
            </w:r>
          </w:p>
        </w:tc>
        <w:tc>
          <w:tcPr>
            <w:tcW w:w="1191"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裁量幅度</w:t>
            </w:r>
          </w:p>
        </w:tc>
        <w:tc>
          <w:tcPr>
            <w:tcW w:w="1928"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违法情节和后果</w:t>
            </w:r>
          </w:p>
        </w:tc>
        <w:tc>
          <w:tcPr>
            <w:tcW w:w="1984"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处罚裁量基准</w:t>
            </w:r>
          </w:p>
        </w:tc>
        <w:tc>
          <w:tcPr>
            <w:tcW w:w="1191"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其他处理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35" w:hRule="atLeast"/>
          <w:jc w:val="center"/>
        </w:trPr>
        <w:tc>
          <w:tcPr>
            <w:tcW w:w="680" w:type="dxa"/>
            <w:vMerge w:val="restart"/>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kern w:val="0"/>
                <w:szCs w:val="21"/>
              </w:rPr>
            </w:pPr>
            <w:r>
              <w:rPr>
                <w:rFonts w:hint="eastAsia" w:ascii="方正仿宋简体" w:eastAsia="方正仿宋_GBK" w:cs="方正仿宋简体"/>
                <w:kern w:val="0"/>
                <w:szCs w:val="21"/>
              </w:rPr>
              <w:t>318</w:t>
            </w:r>
          </w:p>
        </w:tc>
        <w:tc>
          <w:tcPr>
            <w:tcW w:w="1361" w:type="dxa"/>
            <w:vMerge w:val="restart"/>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kern w:val="0"/>
                <w:szCs w:val="21"/>
              </w:rPr>
            </w:pPr>
            <w:r>
              <w:rPr>
                <w:rFonts w:hint="eastAsia" w:ascii="方正仿宋简体" w:eastAsia="方正仿宋_GBK" w:cs="方正仿宋简体"/>
                <w:szCs w:val="21"/>
              </w:rPr>
              <w:t>G070105701</w:t>
            </w:r>
          </w:p>
        </w:tc>
        <w:tc>
          <w:tcPr>
            <w:tcW w:w="1304" w:type="dxa"/>
            <w:vMerge w:val="restart"/>
            <w:tcBorders>
              <w:top w:val="single" w:color="auto" w:sz="4" w:space="0"/>
              <w:left w:val="single" w:color="auto" w:sz="4" w:space="0"/>
              <w:bottom w:val="single" w:color="auto" w:sz="4" w:space="0"/>
              <w:right w:val="single" w:color="auto" w:sz="4" w:space="0"/>
            </w:tcBorders>
            <w:vAlign w:val="center"/>
          </w:tcPr>
          <w:p>
            <w:pPr>
              <w:autoSpaceDN w:val="0"/>
              <w:rPr>
                <w:rFonts w:ascii="方正仿宋简体" w:eastAsia="方正仿宋简体" w:cs="方正仿宋简体"/>
                <w:kern w:val="0"/>
                <w:szCs w:val="21"/>
              </w:rPr>
            </w:pPr>
            <w:r>
              <w:rPr>
                <w:rFonts w:hint="eastAsia" w:ascii="方正仿宋简体" w:eastAsia="方正仿宋_GBK" w:cs="方正仿宋简体"/>
                <w:kern w:val="0"/>
                <w:szCs w:val="21"/>
              </w:rPr>
              <w:t>建设单位未依法提供工程款支付担保的</w:t>
            </w:r>
          </w:p>
        </w:tc>
        <w:tc>
          <w:tcPr>
            <w:tcW w:w="2948" w:type="dxa"/>
            <w:vMerge w:val="restart"/>
            <w:tcBorders>
              <w:top w:val="single" w:color="auto" w:sz="4" w:space="0"/>
              <w:left w:val="single" w:color="auto" w:sz="4" w:space="0"/>
              <w:bottom w:val="single" w:color="auto" w:sz="4" w:space="0"/>
              <w:right w:val="single" w:color="auto" w:sz="4" w:space="0"/>
            </w:tcBorders>
            <w:vAlign w:val="center"/>
          </w:tcPr>
          <w:p>
            <w:pPr>
              <w:autoSpaceDN w:val="0"/>
              <w:rPr>
                <w:rFonts w:ascii="方正仿宋简体" w:eastAsia="方正仿宋_GBK" w:cs="方正仿宋简体"/>
                <w:kern w:val="0"/>
                <w:szCs w:val="21"/>
              </w:rPr>
            </w:pPr>
            <w:r>
              <w:rPr>
                <w:rFonts w:hint="eastAsia" w:ascii="方正仿宋简体" w:eastAsia="方正仿宋_GBK" w:cs="方正仿宋简体"/>
                <w:kern w:val="0"/>
                <w:szCs w:val="21"/>
              </w:rPr>
              <w:t>《保障农民工工资支付条例》第二十四条 建设单位应当向施工单位提供工程款支付担保。</w:t>
            </w:r>
          </w:p>
          <w:p>
            <w:pPr>
              <w:autoSpaceDN w:val="0"/>
              <w:rPr>
                <w:rFonts w:ascii="方正仿宋简体" w:eastAsia="方正仿宋_GBK" w:cs="方正仿宋简体"/>
                <w:kern w:val="0"/>
                <w:szCs w:val="21"/>
              </w:rPr>
            </w:pPr>
            <w:r>
              <w:rPr>
                <w:rFonts w:hint="eastAsia" w:ascii="方正仿宋简体" w:eastAsia="方正仿宋_GBK" w:cs="方正仿宋简体"/>
                <w:kern w:val="0"/>
                <w:szCs w:val="21"/>
              </w:rPr>
              <w:t>建设单位与施工总承包单位依法订立书面工程施工合同，应当约定工程款计量周期、工程款进度结算办法以及人工费用拨付周期，并按照保障农民工工资按时足额支付的要求约定人工费用。人工费用拨付周期不得超过1个月。</w:t>
            </w:r>
          </w:p>
          <w:p>
            <w:pPr>
              <w:autoSpaceDN w:val="0"/>
              <w:rPr>
                <w:rFonts w:ascii="方正仿宋简体" w:eastAsia="方正仿宋简体" w:cs="方正仿宋简体"/>
                <w:kern w:val="0"/>
                <w:szCs w:val="21"/>
              </w:rPr>
            </w:pPr>
            <w:r>
              <w:rPr>
                <w:rFonts w:hint="eastAsia" w:ascii="方正仿宋简体" w:eastAsia="方正仿宋_GBK" w:cs="方正仿宋简体"/>
                <w:kern w:val="0"/>
                <w:szCs w:val="21"/>
              </w:rPr>
              <w:t>建设单位与施工总承包单位应当将工程施工合同保存备查。</w:t>
            </w:r>
          </w:p>
        </w:tc>
        <w:tc>
          <w:tcPr>
            <w:tcW w:w="1984" w:type="dxa"/>
            <w:vMerge w:val="restart"/>
            <w:tcBorders>
              <w:top w:val="single" w:color="auto" w:sz="4" w:space="0"/>
              <w:left w:val="single" w:color="auto" w:sz="4" w:space="0"/>
              <w:bottom w:val="single" w:color="auto" w:sz="4" w:space="0"/>
              <w:right w:val="single" w:color="auto" w:sz="4" w:space="0"/>
            </w:tcBorders>
            <w:vAlign w:val="center"/>
          </w:tcPr>
          <w:p>
            <w:pPr>
              <w:autoSpaceDN w:val="0"/>
              <w:rPr>
                <w:rFonts w:ascii="方正仿宋简体" w:eastAsia="方正仿宋_GBK" w:cs="方正仿宋简体"/>
                <w:kern w:val="0"/>
                <w:szCs w:val="21"/>
              </w:rPr>
            </w:pPr>
            <w:r>
              <w:rPr>
                <w:rFonts w:hint="eastAsia" w:ascii="方正仿宋简体" w:eastAsia="方正仿宋_GBK" w:cs="方正仿宋简体"/>
                <w:kern w:val="0"/>
                <w:szCs w:val="21"/>
              </w:rPr>
              <w:t>《保障农民工工资支付条例》第五十七条 有下列情形之一的，由相关行业工程建设主管部门按照职责责令限期改正；逾期不改正的，责令项目停工，并处5万元以上10万元以下的罚款：</w:t>
            </w:r>
          </w:p>
          <w:p>
            <w:pPr>
              <w:autoSpaceDN w:val="0"/>
              <w:rPr>
                <w:rFonts w:ascii="方正仿宋简体" w:eastAsia="方正仿宋简体" w:cs="方正仿宋简体"/>
                <w:kern w:val="0"/>
                <w:szCs w:val="21"/>
              </w:rPr>
            </w:pPr>
            <w:r>
              <w:rPr>
                <w:rFonts w:hint="eastAsia" w:ascii="方正仿宋简体" w:eastAsia="方正仿宋_GBK" w:cs="方正仿宋简体"/>
                <w:kern w:val="0"/>
                <w:szCs w:val="21"/>
              </w:rPr>
              <w:t>（一）建设单位未依法提供工程款支付担保；</w:t>
            </w:r>
          </w:p>
        </w:tc>
        <w:tc>
          <w:tcPr>
            <w:tcW w:w="1191"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kern w:val="0"/>
                <w:szCs w:val="21"/>
              </w:rPr>
            </w:pPr>
            <w:r>
              <w:rPr>
                <w:rFonts w:hint="eastAsia" w:ascii="方正仿宋简体" w:eastAsia="方正仿宋_GBK" w:cs="方正仿宋简体"/>
                <w:szCs w:val="21"/>
              </w:rPr>
              <w:t>较轻</w:t>
            </w:r>
          </w:p>
        </w:tc>
        <w:tc>
          <w:tcPr>
            <w:tcW w:w="1928" w:type="dxa"/>
            <w:tcBorders>
              <w:top w:val="single" w:color="auto" w:sz="4" w:space="0"/>
              <w:left w:val="single" w:color="auto" w:sz="4" w:space="0"/>
              <w:bottom w:val="single" w:color="auto" w:sz="4" w:space="0"/>
              <w:right w:val="single" w:color="auto" w:sz="4" w:space="0"/>
            </w:tcBorders>
            <w:vAlign w:val="center"/>
          </w:tcPr>
          <w:p>
            <w:pPr>
              <w:widowControl/>
              <w:autoSpaceDN w:val="0"/>
              <w:rPr>
                <w:rFonts w:ascii="方正仿宋简体" w:eastAsia="方正仿宋简体" w:cs="方正仿宋简体"/>
                <w:kern w:val="0"/>
                <w:szCs w:val="21"/>
              </w:rPr>
            </w:pPr>
            <w:r>
              <w:rPr>
                <w:rFonts w:hint="eastAsia" w:ascii="方正仿宋简体" w:eastAsia="方正仿宋_GBK" w:cs="方正仿宋简体"/>
                <w:kern w:val="0"/>
                <w:szCs w:val="21"/>
              </w:rPr>
              <w:t>尚未发生拖欠工资行为的</w:t>
            </w:r>
          </w:p>
        </w:tc>
        <w:tc>
          <w:tcPr>
            <w:tcW w:w="1984" w:type="dxa"/>
            <w:tcBorders>
              <w:top w:val="single" w:color="auto" w:sz="4" w:space="0"/>
              <w:left w:val="single" w:color="auto" w:sz="4" w:space="0"/>
              <w:bottom w:val="single" w:color="auto" w:sz="4" w:space="0"/>
              <w:right w:val="single" w:color="auto" w:sz="4" w:space="0"/>
            </w:tcBorders>
            <w:vAlign w:val="center"/>
          </w:tcPr>
          <w:p>
            <w:pPr>
              <w:autoSpaceDN w:val="0"/>
              <w:rPr>
                <w:rFonts w:ascii="方正仿宋简体" w:eastAsia="方正仿宋简体" w:cs="方正仿宋简体"/>
                <w:kern w:val="0"/>
                <w:szCs w:val="21"/>
              </w:rPr>
            </w:pPr>
            <w:r>
              <w:rPr>
                <w:rFonts w:hint="eastAsia" w:ascii="方正仿宋简体" w:eastAsia="方正仿宋_GBK" w:cs="方正仿宋简体"/>
                <w:kern w:val="0"/>
                <w:szCs w:val="21"/>
              </w:rPr>
              <w:t>处5万元以上6.5万元以下罚款</w:t>
            </w:r>
          </w:p>
        </w:tc>
        <w:tc>
          <w:tcPr>
            <w:tcW w:w="1191" w:type="dxa"/>
            <w:vMerge w:val="restart"/>
            <w:tcBorders>
              <w:top w:val="single" w:color="auto" w:sz="4" w:space="0"/>
              <w:left w:val="single" w:color="auto" w:sz="4" w:space="0"/>
              <w:bottom w:val="single" w:color="auto" w:sz="4" w:space="0"/>
              <w:right w:val="single" w:color="auto" w:sz="4" w:space="0"/>
            </w:tcBorders>
            <w:vAlign w:val="center"/>
          </w:tcPr>
          <w:p>
            <w:pPr>
              <w:autoSpaceDN w:val="0"/>
              <w:rPr>
                <w:rFonts w:ascii="方正仿宋简体" w:eastAsia="方正仿宋简体" w:cs="方正仿宋简体"/>
                <w:kern w:val="0"/>
                <w:szCs w:val="21"/>
              </w:rPr>
            </w:pPr>
            <w:r>
              <w:rPr>
                <w:rFonts w:hint="eastAsia" w:ascii="方正仿宋简体" w:eastAsia="方正仿宋_GBK" w:cs="方正仿宋简体"/>
                <w:kern w:val="0"/>
                <w:szCs w:val="21"/>
              </w:rPr>
              <w:t>相关行业工程建设主管部门按照职责责令限期改正；逾期不改正的，责令项目停工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35" w:hRule="atLeast"/>
          <w:jc w:val="center"/>
        </w:trPr>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3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29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9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191" w:type="dxa"/>
            <w:tcBorders>
              <w:top w:val="single" w:color="auto" w:sz="4" w:space="0"/>
              <w:left w:val="single" w:color="auto" w:sz="4" w:space="0"/>
              <w:bottom w:val="single" w:color="auto" w:sz="4" w:space="0"/>
              <w:right w:val="single" w:color="auto" w:sz="4" w:space="0"/>
            </w:tcBorders>
            <w:vAlign w:val="center"/>
          </w:tcPr>
          <w:p>
            <w:pPr>
              <w:autoSpaceDN w:val="0"/>
              <w:spacing w:line="271" w:lineRule="auto"/>
              <w:jc w:val="center"/>
              <w:rPr>
                <w:rFonts w:ascii="方正仿宋简体" w:eastAsia="方正仿宋简体" w:cs="方正仿宋简体"/>
                <w:kern w:val="0"/>
                <w:szCs w:val="21"/>
              </w:rPr>
            </w:pPr>
            <w:r>
              <w:rPr>
                <w:rFonts w:hint="eastAsia" w:ascii="方正仿宋简体" w:eastAsia="方正仿宋_GBK" w:cs="方正仿宋简体"/>
                <w:szCs w:val="21"/>
              </w:rPr>
              <w:t>较重</w:t>
            </w:r>
          </w:p>
        </w:tc>
        <w:tc>
          <w:tcPr>
            <w:tcW w:w="1928" w:type="dxa"/>
            <w:tcBorders>
              <w:top w:val="single" w:color="auto" w:sz="4" w:space="0"/>
              <w:left w:val="single" w:color="auto" w:sz="4" w:space="0"/>
              <w:bottom w:val="single" w:color="auto" w:sz="4" w:space="0"/>
              <w:right w:val="single" w:color="auto" w:sz="4" w:space="0"/>
            </w:tcBorders>
            <w:vAlign w:val="center"/>
          </w:tcPr>
          <w:p>
            <w:pPr>
              <w:widowControl/>
              <w:autoSpaceDN w:val="0"/>
              <w:rPr>
                <w:rFonts w:ascii="方正仿宋简体" w:eastAsia="方正仿宋简体" w:cs="方正仿宋简体"/>
                <w:kern w:val="0"/>
                <w:szCs w:val="21"/>
              </w:rPr>
            </w:pPr>
            <w:r>
              <w:rPr>
                <w:rFonts w:hint="eastAsia" w:ascii="方正仿宋简体" w:eastAsia="方正仿宋_GBK" w:cs="方正仿宋简体"/>
                <w:kern w:val="0"/>
                <w:szCs w:val="21"/>
              </w:rPr>
              <w:t>发生拖欠工资行为的</w:t>
            </w:r>
          </w:p>
        </w:tc>
        <w:tc>
          <w:tcPr>
            <w:tcW w:w="1984" w:type="dxa"/>
            <w:tcBorders>
              <w:top w:val="single" w:color="auto" w:sz="4" w:space="0"/>
              <w:left w:val="single" w:color="auto" w:sz="4" w:space="0"/>
              <w:bottom w:val="single" w:color="auto" w:sz="4" w:space="0"/>
              <w:right w:val="single" w:color="auto" w:sz="4" w:space="0"/>
            </w:tcBorders>
            <w:vAlign w:val="center"/>
          </w:tcPr>
          <w:p>
            <w:pPr>
              <w:autoSpaceDN w:val="0"/>
              <w:rPr>
                <w:rFonts w:ascii="方正仿宋简体" w:eastAsia="方正仿宋简体" w:cs="方正仿宋简体"/>
                <w:kern w:val="0"/>
                <w:szCs w:val="21"/>
              </w:rPr>
            </w:pPr>
            <w:r>
              <w:rPr>
                <w:rFonts w:hint="eastAsia" w:ascii="方正仿宋简体" w:eastAsia="方正仿宋_GBK" w:cs="方正仿宋简体"/>
                <w:kern w:val="0"/>
                <w:szCs w:val="21"/>
              </w:rPr>
              <w:t>处6.5万元以上8.5万元以下罚款</w:t>
            </w:r>
          </w:p>
        </w:tc>
        <w:tc>
          <w:tcPr>
            <w:tcW w:w="11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35" w:hRule="atLeast"/>
          <w:jc w:val="center"/>
        </w:trPr>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3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29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9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191" w:type="dxa"/>
            <w:tcBorders>
              <w:top w:val="single" w:color="auto" w:sz="4" w:space="0"/>
              <w:left w:val="single" w:color="auto" w:sz="4" w:space="0"/>
              <w:bottom w:val="single" w:color="auto" w:sz="4" w:space="0"/>
              <w:right w:val="single" w:color="auto" w:sz="4" w:space="0"/>
            </w:tcBorders>
            <w:vAlign w:val="center"/>
          </w:tcPr>
          <w:p>
            <w:pPr>
              <w:autoSpaceDN w:val="0"/>
              <w:spacing w:line="271" w:lineRule="auto"/>
              <w:jc w:val="center"/>
              <w:rPr>
                <w:rFonts w:ascii="方正仿宋简体" w:eastAsia="方正仿宋简体" w:cs="方正仿宋简体"/>
                <w:kern w:val="0"/>
                <w:szCs w:val="21"/>
              </w:rPr>
            </w:pPr>
            <w:r>
              <w:rPr>
                <w:rFonts w:hint="eastAsia" w:ascii="方正仿宋简体" w:eastAsia="方正仿宋简体" w:cs="方正仿宋简体"/>
                <w:szCs w:val="21"/>
              </w:rPr>
              <w:t>严重</w:t>
            </w:r>
          </w:p>
        </w:tc>
        <w:tc>
          <w:tcPr>
            <w:tcW w:w="1928" w:type="dxa"/>
            <w:tcBorders>
              <w:top w:val="single" w:color="auto" w:sz="4" w:space="0"/>
              <w:left w:val="single" w:color="auto" w:sz="4" w:space="0"/>
              <w:bottom w:val="single" w:color="auto" w:sz="4" w:space="0"/>
              <w:right w:val="single" w:color="auto" w:sz="4" w:space="0"/>
            </w:tcBorders>
            <w:vAlign w:val="center"/>
          </w:tcPr>
          <w:p>
            <w:pPr>
              <w:widowControl/>
              <w:autoSpaceDN w:val="0"/>
              <w:rPr>
                <w:rFonts w:ascii="方正仿宋简体" w:eastAsia="方正仿宋简体" w:cs="方正仿宋简体"/>
                <w:kern w:val="0"/>
                <w:szCs w:val="21"/>
              </w:rPr>
            </w:pPr>
            <w:r>
              <w:rPr>
                <w:rFonts w:hint="eastAsia" w:ascii="方正仿宋简体" w:eastAsia="方正仿宋_GBK" w:cs="方正仿宋简体"/>
                <w:kern w:val="0"/>
                <w:szCs w:val="21"/>
              </w:rPr>
              <w:t>发生群体性讨薪行为的</w:t>
            </w:r>
          </w:p>
        </w:tc>
        <w:tc>
          <w:tcPr>
            <w:tcW w:w="1984" w:type="dxa"/>
            <w:tcBorders>
              <w:top w:val="single" w:color="auto" w:sz="4" w:space="0"/>
              <w:left w:val="single" w:color="auto" w:sz="4" w:space="0"/>
              <w:bottom w:val="single" w:color="auto" w:sz="4" w:space="0"/>
              <w:right w:val="single" w:color="auto" w:sz="4" w:space="0"/>
            </w:tcBorders>
            <w:vAlign w:val="center"/>
          </w:tcPr>
          <w:p>
            <w:pPr>
              <w:autoSpaceDN w:val="0"/>
              <w:rPr>
                <w:rFonts w:ascii="方正仿宋简体" w:eastAsia="方正仿宋简体" w:cs="方正仿宋简体"/>
                <w:kern w:val="0"/>
                <w:szCs w:val="21"/>
              </w:rPr>
            </w:pPr>
            <w:r>
              <w:rPr>
                <w:rFonts w:hint="eastAsia" w:ascii="方正仿宋简体" w:eastAsia="方正仿宋_GBK" w:cs="方正仿宋简体"/>
                <w:kern w:val="0"/>
                <w:szCs w:val="21"/>
              </w:rPr>
              <w:t>处8.5万元以上10万元以下罚款</w:t>
            </w:r>
          </w:p>
        </w:tc>
        <w:tc>
          <w:tcPr>
            <w:tcW w:w="11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r>
    </w:tbl>
    <w:p>
      <w:pPr>
        <w:tabs>
          <w:tab w:val="left" w:pos="13230"/>
        </w:tabs>
        <w:autoSpaceDN w:val="0"/>
        <w:jc w:val="left"/>
        <w:rPr>
          <w:rFonts w:ascii="方正黑体_GBK" w:eastAsia="方正黑体_GBK" w:cs="方正黑体_GBK"/>
          <w:sz w:val="32"/>
          <w:szCs w:val="32"/>
        </w:rPr>
      </w:pPr>
      <w:r>
        <w:rPr>
          <w:rFonts w:hint="eastAsia" w:ascii="方正黑体_GBK" w:eastAsia="方正黑体_GBK" w:cs="方正黑体_GBK"/>
          <w:sz w:val="32"/>
          <w:szCs w:val="32"/>
        </w:rPr>
        <w:br w:type="page"/>
      </w:r>
      <w:r>
        <w:rPr>
          <w:rFonts w:hint="eastAsia" w:ascii="方正黑体_GBK" w:eastAsia="方正黑体_GBK" w:cs="方正黑体_GBK"/>
          <w:sz w:val="32"/>
          <w:szCs w:val="32"/>
        </w:rPr>
        <w:t>《保障农民工工资支付条例》</w:t>
      </w:r>
    </w:p>
    <w:tbl>
      <w:tblPr>
        <w:tblStyle w:val="8"/>
        <w:tblW w:w="1457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80"/>
        <w:gridCol w:w="1361"/>
        <w:gridCol w:w="1304"/>
        <w:gridCol w:w="2948"/>
        <w:gridCol w:w="1984"/>
        <w:gridCol w:w="1191"/>
        <w:gridCol w:w="1928"/>
        <w:gridCol w:w="1984"/>
        <w:gridCol w:w="119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80"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序号</w:t>
            </w:r>
          </w:p>
        </w:tc>
        <w:tc>
          <w:tcPr>
            <w:tcW w:w="1361"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基准编号</w:t>
            </w:r>
          </w:p>
        </w:tc>
        <w:tc>
          <w:tcPr>
            <w:tcW w:w="1304"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违法行为</w:t>
            </w:r>
          </w:p>
        </w:tc>
        <w:tc>
          <w:tcPr>
            <w:tcW w:w="2948"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违反条款</w:t>
            </w:r>
          </w:p>
        </w:tc>
        <w:tc>
          <w:tcPr>
            <w:tcW w:w="1984"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处罚依据</w:t>
            </w:r>
          </w:p>
        </w:tc>
        <w:tc>
          <w:tcPr>
            <w:tcW w:w="1191"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裁量幅度</w:t>
            </w:r>
          </w:p>
        </w:tc>
        <w:tc>
          <w:tcPr>
            <w:tcW w:w="1928"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违法情节和后果</w:t>
            </w:r>
          </w:p>
        </w:tc>
        <w:tc>
          <w:tcPr>
            <w:tcW w:w="1984"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处罚裁量基准</w:t>
            </w:r>
          </w:p>
        </w:tc>
        <w:tc>
          <w:tcPr>
            <w:tcW w:w="1191"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其他处理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35" w:hRule="atLeast"/>
          <w:jc w:val="center"/>
        </w:trPr>
        <w:tc>
          <w:tcPr>
            <w:tcW w:w="680" w:type="dxa"/>
            <w:vMerge w:val="restart"/>
            <w:tcBorders>
              <w:top w:val="single" w:color="auto" w:sz="4" w:space="0"/>
              <w:left w:val="single" w:color="auto" w:sz="4" w:space="0"/>
              <w:bottom w:val="single" w:color="auto" w:sz="4" w:space="0"/>
              <w:right w:val="single" w:color="auto" w:sz="4" w:space="0"/>
            </w:tcBorders>
            <w:vAlign w:val="center"/>
          </w:tcPr>
          <w:p>
            <w:pPr>
              <w:widowControl/>
              <w:autoSpaceDN w:val="0"/>
              <w:jc w:val="center"/>
              <w:rPr>
                <w:rFonts w:ascii="方正仿宋简体" w:eastAsia="方正仿宋简体" w:cs="方正仿宋简体"/>
                <w:kern w:val="0"/>
                <w:szCs w:val="21"/>
              </w:rPr>
            </w:pPr>
            <w:r>
              <w:rPr>
                <w:rFonts w:hint="eastAsia" w:ascii="方正仿宋简体" w:eastAsia="方正仿宋_GBK" w:cs="方正仿宋简体"/>
                <w:kern w:val="0"/>
                <w:szCs w:val="21"/>
              </w:rPr>
              <w:t>319</w:t>
            </w:r>
          </w:p>
        </w:tc>
        <w:tc>
          <w:tcPr>
            <w:tcW w:w="1361" w:type="dxa"/>
            <w:vMerge w:val="restart"/>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kern w:val="0"/>
                <w:szCs w:val="21"/>
              </w:rPr>
            </w:pPr>
            <w:r>
              <w:rPr>
                <w:rFonts w:hint="eastAsia" w:ascii="方正仿宋简体" w:eastAsia="方正仿宋_GBK" w:cs="方正仿宋简体"/>
                <w:szCs w:val="21"/>
              </w:rPr>
              <w:t>G070105702</w:t>
            </w:r>
          </w:p>
        </w:tc>
        <w:tc>
          <w:tcPr>
            <w:tcW w:w="1304" w:type="dxa"/>
            <w:vMerge w:val="restart"/>
            <w:tcBorders>
              <w:top w:val="single" w:color="auto" w:sz="4" w:space="0"/>
              <w:left w:val="single" w:color="auto" w:sz="4" w:space="0"/>
              <w:bottom w:val="single" w:color="auto" w:sz="4" w:space="0"/>
              <w:right w:val="single" w:color="auto" w:sz="4" w:space="0"/>
            </w:tcBorders>
            <w:vAlign w:val="center"/>
          </w:tcPr>
          <w:p>
            <w:pPr>
              <w:autoSpaceDN w:val="0"/>
              <w:rPr>
                <w:rFonts w:ascii="方正仿宋简体" w:eastAsia="方正仿宋简体" w:cs="方正仿宋简体"/>
                <w:kern w:val="0"/>
                <w:szCs w:val="21"/>
              </w:rPr>
            </w:pPr>
            <w:r>
              <w:rPr>
                <w:rFonts w:hint="eastAsia" w:ascii="方正仿宋简体" w:eastAsia="方正仿宋_GBK" w:cs="方正仿宋简体"/>
                <w:kern w:val="0"/>
                <w:szCs w:val="21"/>
              </w:rPr>
              <w:t>建设单位未按约定及时足额向农民工工资专用账户拨付工程款中的人工费用的</w:t>
            </w:r>
          </w:p>
        </w:tc>
        <w:tc>
          <w:tcPr>
            <w:tcW w:w="2948" w:type="dxa"/>
            <w:vMerge w:val="restart"/>
            <w:tcBorders>
              <w:top w:val="single" w:color="auto" w:sz="4" w:space="0"/>
              <w:left w:val="single" w:color="auto" w:sz="4" w:space="0"/>
              <w:bottom w:val="single" w:color="auto" w:sz="4" w:space="0"/>
              <w:right w:val="single" w:color="auto" w:sz="4" w:space="0"/>
            </w:tcBorders>
            <w:vAlign w:val="center"/>
          </w:tcPr>
          <w:p>
            <w:pPr>
              <w:autoSpaceDN w:val="0"/>
              <w:rPr>
                <w:rFonts w:ascii="方正仿宋简体" w:eastAsia="方正仿宋_GBK" w:cs="方正仿宋简体"/>
                <w:kern w:val="0"/>
                <w:szCs w:val="21"/>
              </w:rPr>
            </w:pPr>
            <w:r>
              <w:rPr>
                <w:rFonts w:hint="eastAsia" w:ascii="方正仿宋简体" w:eastAsia="方正仿宋_GBK" w:cs="方正仿宋简体"/>
                <w:kern w:val="0"/>
                <w:szCs w:val="21"/>
              </w:rPr>
              <w:t>《保障农民工工资支付条例》第二十九条 建设单位应当按照合同约定及时拨付工程款，并将人工费用及时足额拨付至农民工工资专用账户，加强对施工总承包单位按时足额支付农民工工资的监督。</w:t>
            </w:r>
          </w:p>
          <w:p>
            <w:pPr>
              <w:autoSpaceDN w:val="0"/>
              <w:rPr>
                <w:rFonts w:ascii="方正仿宋简体" w:eastAsia="方正仿宋_GBK" w:cs="方正仿宋简体"/>
                <w:kern w:val="0"/>
                <w:szCs w:val="21"/>
              </w:rPr>
            </w:pPr>
            <w:r>
              <w:rPr>
                <w:rFonts w:hint="eastAsia" w:ascii="方正仿宋简体" w:eastAsia="方正仿宋_GBK" w:cs="方正仿宋简体"/>
                <w:kern w:val="0"/>
                <w:szCs w:val="21"/>
              </w:rPr>
              <w:t>因建设单位未按照合同约定及时拨付工程款导致农民工工资拖欠的，建设单位应当以未结清的工程款为限先行垫付被拖欠的农民工工资。</w:t>
            </w:r>
          </w:p>
          <w:p>
            <w:pPr>
              <w:autoSpaceDN w:val="0"/>
              <w:rPr>
                <w:rFonts w:ascii="方正仿宋简体" w:eastAsia="方正仿宋简体" w:cs="方正仿宋简体"/>
                <w:kern w:val="0"/>
                <w:szCs w:val="21"/>
              </w:rPr>
            </w:pPr>
            <w:r>
              <w:rPr>
                <w:rFonts w:hint="eastAsia" w:ascii="方正仿宋简体" w:eastAsia="方正仿宋_GBK" w:cs="方正仿宋简体"/>
                <w:kern w:val="0"/>
                <w:szCs w:val="21"/>
              </w:rPr>
              <w:t>建设单位应当以项目为单位建立保障农民工工资支付协调机制和工资拖欠预防机制，督促施工总承包单位加强劳动用工管理，妥善处理与农民工工资支付相关的矛盾纠纷。发生农民工集体讨薪事件的，建设单位应当会同施工总承包单位及时处理，并向项目所在地人力资源社会保障行政部门和相关行业工程建设主管部门报告有关情况。</w:t>
            </w:r>
          </w:p>
        </w:tc>
        <w:tc>
          <w:tcPr>
            <w:tcW w:w="1984" w:type="dxa"/>
            <w:vMerge w:val="restart"/>
            <w:tcBorders>
              <w:top w:val="single" w:color="auto" w:sz="4" w:space="0"/>
              <w:left w:val="single" w:color="auto" w:sz="4" w:space="0"/>
              <w:bottom w:val="single" w:color="auto" w:sz="4" w:space="0"/>
              <w:right w:val="single" w:color="auto" w:sz="4" w:space="0"/>
            </w:tcBorders>
            <w:vAlign w:val="center"/>
          </w:tcPr>
          <w:p>
            <w:pPr>
              <w:autoSpaceDN w:val="0"/>
              <w:rPr>
                <w:rFonts w:ascii="方正仿宋简体" w:eastAsia="方正仿宋_GBK" w:cs="方正仿宋简体"/>
                <w:kern w:val="0"/>
                <w:szCs w:val="21"/>
              </w:rPr>
            </w:pPr>
            <w:r>
              <w:rPr>
                <w:rFonts w:hint="eastAsia" w:ascii="方正仿宋简体" w:eastAsia="方正仿宋_GBK" w:cs="方正仿宋简体"/>
                <w:kern w:val="0"/>
                <w:szCs w:val="21"/>
              </w:rPr>
              <w:t>《保障农民工工资支付条例》第五十七条 有下列情形之一的，由相关行业工程建设主管部门按照职责责令限期改正；逾期不改正的，责令项目停工，并处5万元以上10万元以下的罚款：</w:t>
            </w:r>
          </w:p>
          <w:p>
            <w:pPr>
              <w:autoSpaceDN w:val="0"/>
              <w:rPr>
                <w:rFonts w:ascii="方正仿宋简体" w:eastAsia="方正仿宋简体" w:cs="方正仿宋简体"/>
                <w:kern w:val="0"/>
                <w:szCs w:val="21"/>
              </w:rPr>
            </w:pPr>
            <w:r>
              <w:rPr>
                <w:rFonts w:hint="eastAsia" w:ascii="方正仿宋简体" w:eastAsia="方正仿宋_GBK" w:cs="方正仿宋简体"/>
                <w:kern w:val="0"/>
                <w:szCs w:val="21"/>
              </w:rPr>
              <w:t>（二）建设单位未按约定及时足额向农民工工资专用账户拨付工程款中的人工费用；</w:t>
            </w:r>
          </w:p>
        </w:tc>
        <w:tc>
          <w:tcPr>
            <w:tcW w:w="1191" w:type="dxa"/>
            <w:tcBorders>
              <w:top w:val="single" w:color="auto" w:sz="4" w:space="0"/>
              <w:left w:val="single" w:color="auto" w:sz="4" w:space="0"/>
              <w:bottom w:val="single" w:color="auto" w:sz="4" w:space="0"/>
              <w:right w:val="single" w:color="auto" w:sz="4" w:space="0"/>
            </w:tcBorders>
            <w:vAlign w:val="center"/>
          </w:tcPr>
          <w:p>
            <w:pPr>
              <w:widowControl/>
              <w:autoSpaceDN w:val="0"/>
              <w:jc w:val="center"/>
              <w:rPr>
                <w:rFonts w:ascii="方正仿宋简体" w:eastAsia="方正仿宋简体" w:cs="方正仿宋简体"/>
                <w:kern w:val="0"/>
                <w:szCs w:val="21"/>
              </w:rPr>
            </w:pPr>
            <w:r>
              <w:rPr>
                <w:rFonts w:hint="eastAsia" w:ascii="方正仿宋简体" w:eastAsia="方正仿宋_GBK" w:cs="方正仿宋简体"/>
                <w:szCs w:val="21"/>
              </w:rPr>
              <w:t>较轻</w:t>
            </w:r>
          </w:p>
        </w:tc>
        <w:tc>
          <w:tcPr>
            <w:tcW w:w="1928" w:type="dxa"/>
            <w:tcBorders>
              <w:top w:val="single" w:color="auto" w:sz="4" w:space="0"/>
              <w:left w:val="single" w:color="auto" w:sz="4" w:space="0"/>
              <w:bottom w:val="single" w:color="auto" w:sz="4" w:space="0"/>
              <w:right w:val="single" w:color="auto" w:sz="4" w:space="0"/>
            </w:tcBorders>
            <w:vAlign w:val="center"/>
          </w:tcPr>
          <w:p>
            <w:pPr>
              <w:widowControl/>
              <w:autoSpaceDN w:val="0"/>
              <w:rPr>
                <w:rFonts w:ascii="方正仿宋简体" w:eastAsia="方正仿宋简体" w:cs="方正仿宋简体"/>
                <w:kern w:val="0"/>
                <w:szCs w:val="21"/>
              </w:rPr>
            </w:pPr>
            <w:r>
              <w:rPr>
                <w:rFonts w:hint="eastAsia" w:ascii="方正仿宋简体" w:eastAsia="方正仿宋_GBK" w:cs="方正仿宋简体"/>
                <w:kern w:val="0"/>
                <w:szCs w:val="21"/>
              </w:rPr>
              <w:t>尚未发生拖欠工资行为的</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autoSpaceDN w:val="0"/>
              <w:rPr>
                <w:rFonts w:ascii="方正仿宋简体" w:eastAsia="方正仿宋简体" w:cs="方正仿宋简体"/>
                <w:kern w:val="0"/>
                <w:szCs w:val="21"/>
              </w:rPr>
            </w:pPr>
            <w:r>
              <w:rPr>
                <w:rFonts w:hint="eastAsia" w:ascii="方正仿宋简体" w:eastAsia="方正仿宋_GBK" w:cs="方正仿宋简体"/>
                <w:kern w:val="0"/>
                <w:szCs w:val="21"/>
              </w:rPr>
              <w:t>处5万元以上6.5万元以下罚款</w:t>
            </w:r>
          </w:p>
        </w:tc>
        <w:tc>
          <w:tcPr>
            <w:tcW w:w="1191" w:type="dxa"/>
            <w:vMerge w:val="restart"/>
            <w:tcBorders>
              <w:top w:val="single" w:color="auto" w:sz="4" w:space="0"/>
              <w:left w:val="single" w:color="auto" w:sz="4" w:space="0"/>
              <w:bottom w:val="single" w:color="auto" w:sz="4" w:space="0"/>
              <w:right w:val="single" w:color="auto" w:sz="4" w:space="0"/>
            </w:tcBorders>
            <w:vAlign w:val="center"/>
          </w:tcPr>
          <w:p>
            <w:pPr>
              <w:autoSpaceDN w:val="0"/>
              <w:rPr>
                <w:rFonts w:ascii="方正仿宋简体" w:eastAsia="方正仿宋简体" w:cs="方正仿宋简体"/>
                <w:kern w:val="0"/>
                <w:szCs w:val="21"/>
              </w:rPr>
            </w:pPr>
            <w:r>
              <w:rPr>
                <w:rFonts w:hint="eastAsia" w:ascii="方正仿宋简体" w:eastAsia="方正仿宋_GBK" w:cs="方正仿宋简体"/>
                <w:kern w:val="0"/>
                <w:szCs w:val="21"/>
              </w:rPr>
              <w:t>相关行业工程建设主管部门按照职责责令限期改正；逾期不改正的，责令项目停工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35" w:hRule="atLeast"/>
          <w:jc w:val="center"/>
        </w:trPr>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3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29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9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191" w:type="dxa"/>
            <w:tcBorders>
              <w:top w:val="single" w:color="auto" w:sz="4" w:space="0"/>
              <w:left w:val="single" w:color="auto" w:sz="4" w:space="0"/>
              <w:bottom w:val="single" w:color="auto" w:sz="4" w:space="0"/>
              <w:right w:val="single" w:color="auto" w:sz="4" w:space="0"/>
            </w:tcBorders>
            <w:vAlign w:val="center"/>
          </w:tcPr>
          <w:p>
            <w:pPr>
              <w:autoSpaceDN w:val="0"/>
              <w:spacing w:line="271" w:lineRule="auto"/>
              <w:jc w:val="center"/>
              <w:rPr>
                <w:rFonts w:ascii="方正仿宋简体" w:eastAsia="方正仿宋简体" w:cs="方正仿宋简体"/>
                <w:kern w:val="0"/>
                <w:szCs w:val="21"/>
              </w:rPr>
            </w:pPr>
            <w:r>
              <w:rPr>
                <w:rFonts w:hint="eastAsia" w:ascii="方正仿宋简体" w:eastAsia="方正仿宋_GBK" w:cs="方正仿宋简体"/>
                <w:szCs w:val="21"/>
              </w:rPr>
              <w:t>较重</w:t>
            </w:r>
          </w:p>
        </w:tc>
        <w:tc>
          <w:tcPr>
            <w:tcW w:w="1928" w:type="dxa"/>
            <w:tcBorders>
              <w:top w:val="single" w:color="auto" w:sz="4" w:space="0"/>
              <w:left w:val="single" w:color="auto" w:sz="4" w:space="0"/>
              <w:bottom w:val="single" w:color="auto" w:sz="4" w:space="0"/>
              <w:right w:val="single" w:color="auto" w:sz="4" w:space="0"/>
            </w:tcBorders>
            <w:vAlign w:val="center"/>
          </w:tcPr>
          <w:p>
            <w:pPr>
              <w:widowControl/>
              <w:autoSpaceDN w:val="0"/>
              <w:rPr>
                <w:rFonts w:ascii="方正仿宋简体" w:eastAsia="方正仿宋简体" w:cs="方正仿宋简体"/>
                <w:kern w:val="0"/>
                <w:szCs w:val="21"/>
              </w:rPr>
            </w:pPr>
            <w:r>
              <w:rPr>
                <w:rFonts w:hint="eastAsia" w:ascii="方正仿宋简体" w:eastAsia="方正仿宋_GBK" w:cs="方正仿宋简体"/>
                <w:kern w:val="0"/>
                <w:szCs w:val="21"/>
              </w:rPr>
              <w:t>发生拖欠工资行为的</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autoSpaceDN w:val="0"/>
              <w:rPr>
                <w:rFonts w:ascii="方正仿宋简体" w:eastAsia="方正仿宋简体" w:cs="方正仿宋简体"/>
                <w:kern w:val="0"/>
                <w:szCs w:val="21"/>
              </w:rPr>
            </w:pPr>
            <w:r>
              <w:rPr>
                <w:rFonts w:hint="eastAsia" w:ascii="方正仿宋简体" w:eastAsia="方正仿宋_GBK" w:cs="方正仿宋简体"/>
                <w:kern w:val="0"/>
                <w:szCs w:val="21"/>
              </w:rPr>
              <w:t>处6.5万元以上8.5万元以下罚款</w:t>
            </w:r>
          </w:p>
        </w:tc>
        <w:tc>
          <w:tcPr>
            <w:tcW w:w="11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35" w:hRule="atLeast"/>
          <w:jc w:val="center"/>
        </w:trPr>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3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29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9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191" w:type="dxa"/>
            <w:tcBorders>
              <w:top w:val="single" w:color="auto" w:sz="4" w:space="0"/>
              <w:left w:val="single" w:color="auto" w:sz="4" w:space="0"/>
              <w:bottom w:val="single" w:color="auto" w:sz="4" w:space="0"/>
              <w:right w:val="single" w:color="auto" w:sz="4" w:space="0"/>
            </w:tcBorders>
            <w:vAlign w:val="center"/>
          </w:tcPr>
          <w:p>
            <w:pPr>
              <w:autoSpaceDN w:val="0"/>
              <w:spacing w:line="271" w:lineRule="auto"/>
              <w:jc w:val="center"/>
              <w:rPr>
                <w:rFonts w:ascii="方正仿宋简体" w:eastAsia="方正仿宋简体" w:cs="方正仿宋简体"/>
                <w:kern w:val="0"/>
                <w:szCs w:val="21"/>
              </w:rPr>
            </w:pPr>
            <w:r>
              <w:rPr>
                <w:rFonts w:hint="eastAsia" w:ascii="方正仿宋简体" w:eastAsia="方正仿宋简体" w:cs="方正仿宋简体"/>
                <w:szCs w:val="21"/>
              </w:rPr>
              <w:t>严重</w:t>
            </w:r>
          </w:p>
        </w:tc>
        <w:tc>
          <w:tcPr>
            <w:tcW w:w="1928" w:type="dxa"/>
            <w:tcBorders>
              <w:top w:val="single" w:color="auto" w:sz="4" w:space="0"/>
              <w:left w:val="single" w:color="auto" w:sz="4" w:space="0"/>
              <w:bottom w:val="single" w:color="auto" w:sz="4" w:space="0"/>
              <w:right w:val="single" w:color="auto" w:sz="4" w:space="0"/>
            </w:tcBorders>
            <w:vAlign w:val="center"/>
          </w:tcPr>
          <w:p>
            <w:pPr>
              <w:widowControl/>
              <w:autoSpaceDN w:val="0"/>
              <w:rPr>
                <w:rFonts w:ascii="方正仿宋简体" w:eastAsia="方正仿宋简体" w:cs="方正仿宋简体"/>
                <w:kern w:val="0"/>
                <w:szCs w:val="21"/>
              </w:rPr>
            </w:pPr>
            <w:r>
              <w:rPr>
                <w:rFonts w:hint="eastAsia" w:ascii="方正仿宋简体" w:eastAsia="方正仿宋_GBK" w:cs="方正仿宋简体"/>
                <w:kern w:val="0"/>
                <w:szCs w:val="21"/>
              </w:rPr>
              <w:t>发生群体性讨薪行为的</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autoSpaceDN w:val="0"/>
              <w:rPr>
                <w:rFonts w:ascii="方正仿宋简体" w:eastAsia="方正仿宋简体" w:cs="方正仿宋简体"/>
                <w:kern w:val="0"/>
                <w:szCs w:val="21"/>
              </w:rPr>
            </w:pPr>
            <w:r>
              <w:rPr>
                <w:rFonts w:hint="eastAsia" w:ascii="方正仿宋简体" w:eastAsia="方正仿宋_GBK" w:cs="方正仿宋简体"/>
                <w:kern w:val="0"/>
                <w:szCs w:val="21"/>
              </w:rPr>
              <w:t>处8.5万元以上10万元以下罚款</w:t>
            </w:r>
          </w:p>
        </w:tc>
        <w:tc>
          <w:tcPr>
            <w:tcW w:w="11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r>
    </w:tbl>
    <w:p>
      <w:pPr>
        <w:tabs>
          <w:tab w:val="left" w:pos="13230"/>
        </w:tabs>
        <w:autoSpaceDN w:val="0"/>
        <w:jc w:val="left"/>
        <w:rPr>
          <w:rFonts w:ascii="方正黑体_GBK" w:eastAsia="方正黑体_GBK" w:cs="方正黑体_GBK"/>
          <w:sz w:val="32"/>
          <w:szCs w:val="32"/>
        </w:rPr>
      </w:pPr>
      <w:r>
        <w:rPr>
          <w:rFonts w:hint="eastAsia" w:ascii="方正黑体_GBK" w:eastAsia="方正黑体_GBK" w:cs="方正黑体_GBK"/>
          <w:sz w:val="32"/>
          <w:szCs w:val="32"/>
        </w:rPr>
        <w:br w:type="page"/>
      </w:r>
      <w:r>
        <w:rPr>
          <w:rFonts w:hint="eastAsia" w:ascii="方正黑体_GBK" w:eastAsia="方正黑体_GBK" w:cs="方正黑体_GBK"/>
          <w:sz w:val="32"/>
          <w:szCs w:val="32"/>
        </w:rPr>
        <w:t>《保障农民工工资支付条例》</w:t>
      </w:r>
    </w:p>
    <w:tbl>
      <w:tblPr>
        <w:tblStyle w:val="8"/>
        <w:tblW w:w="1457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80"/>
        <w:gridCol w:w="1361"/>
        <w:gridCol w:w="1304"/>
        <w:gridCol w:w="2948"/>
        <w:gridCol w:w="1984"/>
        <w:gridCol w:w="1191"/>
        <w:gridCol w:w="1928"/>
        <w:gridCol w:w="1984"/>
        <w:gridCol w:w="119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680"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序号</w:t>
            </w:r>
          </w:p>
        </w:tc>
        <w:tc>
          <w:tcPr>
            <w:tcW w:w="1361"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基准编号</w:t>
            </w:r>
          </w:p>
        </w:tc>
        <w:tc>
          <w:tcPr>
            <w:tcW w:w="1304"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违法行为</w:t>
            </w:r>
          </w:p>
        </w:tc>
        <w:tc>
          <w:tcPr>
            <w:tcW w:w="2948"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违反条款</w:t>
            </w:r>
          </w:p>
        </w:tc>
        <w:tc>
          <w:tcPr>
            <w:tcW w:w="1984"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处罚依据</w:t>
            </w:r>
          </w:p>
        </w:tc>
        <w:tc>
          <w:tcPr>
            <w:tcW w:w="1191"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裁量幅度</w:t>
            </w:r>
          </w:p>
        </w:tc>
        <w:tc>
          <w:tcPr>
            <w:tcW w:w="1928"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违法情节和后果</w:t>
            </w:r>
          </w:p>
        </w:tc>
        <w:tc>
          <w:tcPr>
            <w:tcW w:w="1984"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处罚裁量基准</w:t>
            </w:r>
          </w:p>
        </w:tc>
        <w:tc>
          <w:tcPr>
            <w:tcW w:w="1191"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b/>
                <w:bCs/>
                <w:kern w:val="0"/>
                <w:szCs w:val="21"/>
              </w:rPr>
            </w:pPr>
            <w:r>
              <w:rPr>
                <w:rFonts w:hint="eastAsia" w:ascii="方正仿宋简体" w:eastAsia="方正仿宋_GBK" w:cs="方正仿宋简体"/>
                <w:b/>
                <w:bCs/>
                <w:kern w:val="0"/>
                <w:szCs w:val="21"/>
              </w:rPr>
              <w:t>其他处理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35" w:hRule="atLeast"/>
          <w:jc w:val="center"/>
        </w:trPr>
        <w:tc>
          <w:tcPr>
            <w:tcW w:w="680" w:type="dxa"/>
            <w:vMerge w:val="restart"/>
            <w:tcBorders>
              <w:top w:val="single" w:color="auto" w:sz="4" w:space="0"/>
              <w:left w:val="single" w:color="auto" w:sz="4" w:space="0"/>
              <w:bottom w:val="single" w:color="auto" w:sz="4" w:space="0"/>
              <w:right w:val="single" w:color="auto" w:sz="4" w:space="0"/>
            </w:tcBorders>
            <w:vAlign w:val="center"/>
          </w:tcPr>
          <w:p>
            <w:pPr>
              <w:widowControl/>
              <w:autoSpaceDN w:val="0"/>
              <w:jc w:val="center"/>
              <w:rPr>
                <w:rFonts w:ascii="方正仿宋简体" w:eastAsia="方正仿宋简体" w:cs="方正仿宋简体"/>
                <w:kern w:val="0"/>
                <w:szCs w:val="21"/>
              </w:rPr>
            </w:pPr>
            <w:r>
              <w:rPr>
                <w:rFonts w:hint="eastAsia" w:ascii="方正仿宋简体" w:eastAsia="方正仿宋_GBK" w:cs="方正仿宋简体"/>
                <w:kern w:val="0"/>
                <w:szCs w:val="21"/>
              </w:rPr>
              <w:t>320</w:t>
            </w:r>
          </w:p>
        </w:tc>
        <w:tc>
          <w:tcPr>
            <w:tcW w:w="1361" w:type="dxa"/>
            <w:vMerge w:val="restart"/>
            <w:tcBorders>
              <w:top w:val="single" w:color="auto" w:sz="4" w:space="0"/>
              <w:left w:val="single" w:color="auto" w:sz="4" w:space="0"/>
              <w:bottom w:val="single" w:color="auto" w:sz="4" w:space="0"/>
              <w:right w:val="single" w:color="auto" w:sz="4" w:space="0"/>
            </w:tcBorders>
            <w:vAlign w:val="center"/>
          </w:tcPr>
          <w:p>
            <w:pPr>
              <w:autoSpaceDN w:val="0"/>
              <w:jc w:val="center"/>
              <w:rPr>
                <w:rFonts w:ascii="方正仿宋简体" w:eastAsia="方正仿宋简体" w:cs="方正仿宋简体"/>
                <w:kern w:val="0"/>
                <w:szCs w:val="21"/>
              </w:rPr>
            </w:pPr>
            <w:r>
              <w:rPr>
                <w:rFonts w:hint="eastAsia" w:ascii="方正仿宋简体" w:eastAsia="方正仿宋_GBK" w:cs="方正仿宋简体"/>
                <w:szCs w:val="21"/>
              </w:rPr>
              <w:t>G070105703</w:t>
            </w:r>
          </w:p>
        </w:tc>
        <w:tc>
          <w:tcPr>
            <w:tcW w:w="1304" w:type="dxa"/>
            <w:vMerge w:val="restart"/>
            <w:tcBorders>
              <w:top w:val="single" w:color="auto" w:sz="4" w:space="0"/>
              <w:left w:val="single" w:color="auto" w:sz="4" w:space="0"/>
              <w:bottom w:val="single" w:color="auto" w:sz="4" w:space="0"/>
              <w:right w:val="single" w:color="auto" w:sz="4" w:space="0"/>
            </w:tcBorders>
            <w:vAlign w:val="center"/>
          </w:tcPr>
          <w:p>
            <w:pPr>
              <w:autoSpaceDN w:val="0"/>
              <w:rPr>
                <w:rFonts w:ascii="方正仿宋简体" w:eastAsia="方正仿宋简体" w:cs="方正仿宋简体"/>
                <w:kern w:val="0"/>
                <w:szCs w:val="21"/>
              </w:rPr>
            </w:pPr>
            <w:r>
              <w:rPr>
                <w:rFonts w:hint="eastAsia" w:ascii="方正仿宋简体" w:eastAsia="方正仿宋_GBK" w:cs="方正仿宋简体"/>
                <w:kern w:val="0"/>
                <w:szCs w:val="21"/>
              </w:rPr>
              <w:t>建设单位或者施工总承包单位拒不提供或者无法提供工程施工合同、农民工工资专用账户有关资料的</w:t>
            </w:r>
          </w:p>
        </w:tc>
        <w:tc>
          <w:tcPr>
            <w:tcW w:w="2948" w:type="dxa"/>
            <w:vMerge w:val="restart"/>
            <w:tcBorders>
              <w:top w:val="single" w:color="auto" w:sz="4" w:space="0"/>
              <w:left w:val="single" w:color="auto" w:sz="4" w:space="0"/>
              <w:bottom w:val="single" w:color="auto" w:sz="4" w:space="0"/>
              <w:right w:val="single" w:color="auto" w:sz="4" w:space="0"/>
            </w:tcBorders>
            <w:vAlign w:val="center"/>
          </w:tcPr>
          <w:p>
            <w:pPr>
              <w:autoSpaceDN w:val="0"/>
              <w:rPr>
                <w:rFonts w:ascii="方正仿宋简体" w:eastAsia="方正仿宋_GBK" w:cs="方正仿宋简体"/>
                <w:kern w:val="0"/>
                <w:szCs w:val="21"/>
              </w:rPr>
            </w:pPr>
            <w:r>
              <w:rPr>
                <w:rFonts w:hint="eastAsia" w:ascii="方正仿宋简体" w:eastAsia="方正仿宋_GBK" w:cs="方正仿宋简体"/>
                <w:kern w:val="0"/>
                <w:szCs w:val="21"/>
              </w:rPr>
              <w:t>《保障农民工工资支付条例》第二十四条 建设单位应当向施工单位提供工程款支付担保。</w:t>
            </w:r>
          </w:p>
          <w:p>
            <w:pPr>
              <w:autoSpaceDN w:val="0"/>
              <w:rPr>
                <w:rFonts w:ascii="方正仿宋简体" w:eastAsia="方正仿宋_GBK" w:cs="方正仿宋简体"/>
                <w:kern w:val="0"/>
                <w:szCs w:val="21"/>
              </w:rPr>
            </w:pPr>
            <w:r>
              <w:rPr>
                <w:rFonts w:hint="eastAsia" w:ascii="方正仿宋简体" w:eastAsia="方正仿宋_GBK" w:cs="方正仿宋简体"/>
                <w:kern w:val="0"/>
                <w:szCs w:val="21"/>
              </w:rPr>
              <w:t>建设单位与施工总承包单位依法订立书面工程施工合同，应当约定工程款计量周期、工程款进度结算办法以及人工费用拨付周期，并按照保障农民工工资按时足额支付的要求约定人工费用。人工费用拨付周期不得超过1个月。</w:t>
            </w:r>
          </w:p>
          <w:p>
            <w:pPr>
              <w:autoSpaceDN w:val="0"/>
              <w:rPr>
                <w:rFonts w:ascii="方正仿宋简体" w:eastAsia="方正仿宋_GBK" w:cs="方正仿宋简体"/>
                <w:kern w:val="0"/>
                <w:szCs w:val="21"/>
              </w:rPr>
            </w:pPr>
            <w:r>
              <w:rPr>
                <w:rFonts w:hint="eastAsia" w:ascii="方正仿宋简体" w:eastAsia="方正仿宋_GBK" w:cs="方正仿宋简体"/>
                <w:kern w:val="0"/>
                <w:szCs w:val="21"/>
              </w:rPr>
              <w:t>建设单位与施工总承包单位应当将工程施工合同保存备查。</w:t>
            </w:r>
          </w:p>
          <w:p>
            <w:pPr>
              <w:autoSpaceDN w:val="0"/>
              <w:rPr>
                <w:rFonts w:ascii="方正仿宋简体" w:eastAsia="方正仿宋_GBK" w:cs="方正仿宋简体"/>
                <w:kern w:val="0"/>
                <w:szCs w:val="21"/>
              </w:rPr>
            </w:pPr>
            <w:r>
              <w:rPr>
                <w:rFonts w:hint="eastAsia" w:ascii="方正仿宋简体" w:eastAsia="方正仿宋_GBK" w:cs="方正仿宋简体"/>
                <w:kern w:val="0"/>
                <w:szCs w:val="21"/>
              </w:rPr>
              <w:t>第二十五条 施工总承包单位与分包单位依法订立书面分包合同，应当约定工程款计量周期、工程款进度结算办法。</w:t>
            </w:r>
          </w:p>
          <w:p>
            <w:pPr>
              <w:autoSpaceDN w:val="0"/>
              <w:rPr>
                <w:rFonts w:ascii="方正仿宋简体" w:eastAsia="方正仿宋_GBK" w:cs="方正仿宋简体"/>
                <w:kern w:val="0"/>
                <w:szCs w:val="21"/>
              </w:rPr>
            </w:pPr>
            <w:r>
              <w:rPr>
                <w:rFonts w:hint="eastAsia" w:ascii="方正仿宋简体" w:eastAsia="方正仿宋_GBK" w:cs="方正仿宋简体"/>
                <w:kern w:val="0"/>
                <w:szCs w:val="21"/>
              </w:rPr>
              <w:t>第二十六条 施工总承包单位应当按照有关规定开设农民工工资专用账户，专项用于支付该工程建设项目农民工工资。</w:t>
            </w:r>
          </w:p>
          <w:p>
            <w:pPr>
              <w:autoSpaceDN w:val="0"/>
              <w:rPr>
                <w:rFonts w:ascii="方正仿宋简体" w:eastAsia="方正仿宋简体" w:cs="方正仿宋简体"/>
                <w:kern w:val="0"/>
                <w:szCs w:val="21"/>
              </w:rPr>
            </w:pPr>
            <w:r>
              <w:rPr>
                <w:rFonts w:hint="eastAsia" w:ascii="方正仿宋简体" w:eastAsia="方正仿宋_GBK" w:cs="方正仿宋简体"/>
                <w:kern w:val="0"/>
                <w:szCs w:val="21"/>
              </w:rPr>
              <w:t>开设、使用农民工工资专用账户有关资料应当由施工总承包单位妥善保存备查。</w:t>
            </w:r>
          </w:p>
        </w:tc>
        <w:tc>
          <w:tcPr>
            <w:tcW w:w="1984" w:type="dxa"/>
            <w:vMerge w:val="restart"/>
            <w:tcBorders>
              <w:top w:val="single" w:color="auto" w:sz="4" w:space="0"/>
              <w:left w:val="single" w:color="auto" w:sz="4" w:space="0"/>
              <w:bottom w:val="single" w:color="auto" w:sz="4" w:space="0"/>
              <w:right w:val="single" w:color="auto" w:sz="4" w:space="0"/>
            </w:tcBorders>
            <w:vAlign w:val="center"/>
          </w:tcPr>
          <w:p>
            <w:pPr>
              <w:autoSpaceDN w:val="0"/>
              <w:rPr>
                <w:rFonts w:ascii="方正仿宋简体" w:eastAsia="方正仿宋_GBK" w:cs="方正仿宋简体"/>
                <w:kern w:val="0"/>
                <w:szCs w:val="21"/>
              </w:rPr>
            </w:pPr>
            <w:r>
              <w:rPr>
                <w:rFonts w:hint="eastAsia" w:ascii="方正仿宋简体" w:eastAsia="方正仿宋_GBK" w:cs="方正仿宋简体"/>
                <w:kern w:val="0"/>
                <w:szCs w:val="21"/>
              </w:rPr>
              <w:t>《保障农民工工资支付条例》第五十七条 有下列情形之一的，由相关行业工程建设主管部门按照职责责令限期改正；逾期不改正的，责令项目停工，并处5万元以上10万元以下的罚款：</w:t>
            </w:r>
          </w:p>
          <w:p>
            <w:pPr>
              <w:autoSpaceDN w:val="0"/>
              <w:rPr>
                <w:rFonts w:ascii="方正仿宋简体" w:eastAsia="方正仿宋简体" w:cs="方正仿宋简体"/>
                <w:kern w:val="0"/>
                <w:szCs w:val="21"/>
              </w:rPr>
            </w:pPr>
            <w:r>
              <w:rPr>
                <w:rFonts w:hint="eastAsia" w:ascii="方正仿宋简体" w:eastAsia="方正仿宋_GBK" w:cs="方正仿宋简体"/>
                <w:kern w:val="0"/>
                <w:szCs w:val="21"/>
              </w:rPr>
              <w:t>（三）建设单位或者施工总承包单位拒不提供或者无法提供工程施工合同、农民工工资专用账户有关资料；</w:t>
            </w:r>
          </w:p>
        </w:tc>
        <w:tc>
          <w:tcPr>
            <w:tcW w:w="1191" w:type="dxa"/>
            <w:tcBorders>
              <w:top w:val="single" w:color="auto" w:sz="4" w:space="0"/>
              <w:left w:val="single" w:color="auto" w:sz="4" w:space="0"/>
              <w:bottom w:val="single" w:color="auto" w:sz="4" w:space="0"/>
              <w:right w:val="single" w:color="auto" w:sz="4" w:space="0"/>
            </w:tcBorders>
            <w:vAlign w:val="center"/>
          </w:tcPr>
          <w:p>
            <w:pPr>
              <w:widowControl/>
              <w:autoSpaceDN w:val="0"/>
              <w:jc w:val="center"/>
              <w:rPr>
                <w:rFonts w:ascii="方正仿宋简体" w:eastAsia="方正仿宋简体" w:cs="方正仿宋简体"/>
                <w:kern w:val="0"/>
                <w:szCs w:val="21"/>
              </w:rPr>
            </w:pPr>
            <w:r>
              <w:rPr>
                <w:rFonts w:hint="eastAsia" w:ascii="方正仿宋简体" w:eastAsia="方正仿宋_GBK" w:cs="方正仿宋简体"/>
                <w:szCs w:val="21"/>
              </w:rPr>
              <w:t>较轻</w:t>
            </w:r>
          </w:p>
        </w:tc>
        <w:tc>
          <w:tcPr>
            <w:tcW w:w="1928" w:type="dxa"/>
            <w:tcBorders>
              <w:top w:val="single" w:color="auto" w:sz="4" w:space="0"/>
              <w:left w:val="single" w:color="auto" w:sz="4" w:space="0"/>
              <w:bottom w:val="single" w:color="auto" w:sz="4" w:space="0"/>
              <w:right w:val="single" w:color="auto" w:sz="4" w:space="0"/>
            </w:tcBorders>
            <w:vAlign w:val="center"/>
          </w:tcPr>
          <w:p>
            <w:pPr>
              <w:widowControl/>
              <w:autoSpaceDN w:val="0"/>
              <w:rPr>
                <w:rFonts w:ascii="方正仿宋简体" w:eastAsia="方正仿宋简体" w:cs="方正仿宋简体"/>
                <w:kern w:val="0"/>
                <w:szCs w:val="21"/>
              </w:rPr>
            </w:pPr>
            <w:r>
              <w:rPr>
                <w:rFonts w:hint="eastAsia" w:ascii="方正仿宋简体" w:eastAsia="方正仿宋_GBK" w:cs="方正仿宋简体"/>
                <w:kern w:val="0"/>
                <w:szCs w:val="21"/>
              </w:rPr>
              <w:t>尚未发生拖欠工资行为的</w:t>
            </w:r>
          </w:p>
        </w:tc>
        <w:tc>
          <w:tcPr>
            <w:tcW w:w="1984" w:type="dxa"/>
            <w:tcBorders>
              <w:top w:val="single" w:color="auto" w:sz="4" w:space="0"/>
              <w:left w:val="single" w:color="auto" w:sz="4" w:space="0"/>
              <w:bottom w:val="single" w:color="auto" w:sz="4" w:space="0"/>
              <w:right w:val="single" w:color="auto" w:sz="4" w:space="0"/>
            </w:tcBorders>
            <w:vAlign w:val="center"/>
          </w:tcPr>
          <w:p>
            <w:pPr>
              <w:autoSpaceDN w:val="0"/>
              <w:rPr>
                <w:rFonts w:ascii="方正仿宋简体" w:eastAsia="方正仿宋简体" w:cs="方正仿宋简体"/>
                <w:kern w:val="0"/>
                <w:szCs w:val="21"/>
              </w:rPr>
            </w:pPr>
            <w:r>
              <w:rPr>
                <w:rFonts w:hint="eastAsia" w:ascii="方正仿宋简体" w:eastAsia="方正仿宋_GBK" w:cs="方正仿宋简体"/>
                <w:kern w:val="0"/>
                <w:szCs w:val="21"/>
              </w:rPr>
              <w:t>处5万元以上6.5万元以下罚款</w:t>
            </w:r>
          </w:p>
        </w:tc>
        <w:tc>
          <w:tcPr>
            <w:tcW w:w="1191" w:type="dxa"/>
            <w:vMerge w:val="restart"/>
            <w:tcBorders>
              <w:top w:val="single" w:color="auto" w:sz="4" w:space="0"/>
              <w:left w:val="single" w:color="auto" w:sz="4" w:space="0"/>
              <w:bottom w:val="single" w:color="auto" w:sz="4" w:space="0"/>
              <w:right w:val="single" w:color="auto" w:sz="4" w:space="0"/>
            </w:tcBorders>
            <w:vAlign w:val="center"/>
          </w:tcPr>
          <w:p>
            <w:pPr>
              <w:autoSpaceDN w:val="0"/>
              <w:rPr>
                <w:rFonts w:eastAsia="仿宋_GB2312"/>
                <w:kern w:val="0"/>
                <w:szCs w:val="21"/>
              </w:rPr>
            </w:pPr>
            <w:r>
              <w:rPr>
                <w:rFonts w:hint="eastAsia" w:ascii="方正仿宋简体" w:eastAsia="方正仿宋_GBK" w:cs="方正仿宋简体"/>
                <w:kern w:val="0"/>
                <w:szCs w:val="21"/>
              </w:rPr>
              <w:t>相关行业工程建设主管部门按照职责责令限期改正；逾期不改正的，责令项目停工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35" w:hRule="atLeast"/>
          <w:jc w:val="center"/>
        </w:trPr>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3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29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9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191" w:type="dxa"/>
            <w:tcBorders>
              <w:top w:val="single" w:color="auto" w:sz="4" w:space="0"/>
              <w:left w:val="single" w:color="auto" w:sz="4" w:space="0"/>
              <w:bottom w:val="single" w:color="auto" w:sz="4" w:space="0"/>
              <w:right w:val="single" w:color="auto" w:sz="4" w:space="0"/>
            </w:tcBorders>
            <w:vAlign w:val="center"/>
          </w:tcPr>
          <w:p>
            <w:pPr>
              <w:autoSpaceDN w:val="0"/>
              <w:spacing w:line="271" w:lineRule="auto"/>
              <w:jc w:val="center"/>
              <w:rPr>
                <w:rFonts w:ascii="方正仿宋简体" w:eastAsia="方正仿宋简体" w:cs="方正仿宋简体"/>
                <w:kern w:val="0"/>
                <w:szCs w:val="21"/>
              </w:rPr>
            </w:pPr>
            <w:r>
              <w:rPr>
                <w:rFonts w:hint="eastAsia" w:ascii="方正仿宋简体" w:eastAsia="方正仿宋_GBK" w:cs="方正仿宋简体"/>
                <w:szCs w:val="21"/>
              </w:rPr>
              <w:t>较重</w:t>
            </w:r>
          </w:p>
        </w:tc>
        <w:tc>
          <w:tcPr>
            <w:tcW w:w="1928" w:type="dxa"/>
            <w:tcBorders>
              <w:top w:val="single" w:color="auto" w:sz="4" w:space="0"/>
              <w:left w:val="single" w:color="auto" w:sz="4" w:space="0"/>
              <w:bottom w:val="single" w:color="auto" w:sz="4" w:space="0"/>
              <w:right w:val="single" w:color="auto" w:sz="4" w:space="0"/>
            </w:tcBorders>
            <w:vAlign w:val="center"/>
          </w:tcPr>
          <w:p>
            <w:pPr>
              <w:widowControl/>
              <w:autoSpaceDN w:val="0"/>
              <w:rPr>
                <w:rFonts w:ascii="方正仿宋简体" w:eastAsia="方正仿宋简体" w:cs="方正仿宋简体"/>
                <w:kern w:val="0"/>
                <w:szCs w:val="21"/>
              </w:rPr>
            </w:pPr>
            <w:r>
              <w:rPr>
                <w:rFonts w:hint="eastAsia" w:ascii="方正仿宋简体" w:eastAsia="方正仿宋_GBK" w:cs="方正仿宋简体"/>
                <w:kern w:val="0"/>
                <w:szCs w:val="21"/>
              </w:rPr>
              <w:t>发生拖欠工资行为的</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autoSpaceDN w:val="0"/>
              <w:rPr>
                <w:rFonts w:ascii="方正仿宋简体" w:eastAsia="方正仿宋简体" w:cs="方正仿宋简体"/>
                <w:kern w:val="0"/>
                <w:szCs w:val="21"/>
              </w:rPr>
            </w:pPr>
            <w:r>
              <w:rPr>
                <w:rFonts w:hint="eastAsia" w:ascii="方正仿宋简体" w:eastAsia="方正仿宋_GBK" w:cs="方正仿宋简体"/>
                <w:kern w:val="0"/>
                <w:szCs w:val="21"/>
              </w:rPr>
              <w:t>处6.5万元以上8.5万元以下罚款</w:t>
            </w:r>
          </w:p>
        </w:tc>
        <w:tc>
          <w:tcPr>
            <w:tcW w:w="11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35" w:hRule="atLeast"/>
          <w:jc w:val="center"/>
        </w:trPr>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3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29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9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eastAsia="方正仿宋简体" w:cs="方正仿宋简体"/>
                <w:kern w:val="0"/>
                <w:szCs w:val="21"/>
              </w:rPr>
            </w:pPr>
          </w:p>
        </w:tc>
        <w:tc>
          <w:tcPr>
            <w:tcW w:w="1191" w:type="dxa"/>
            <w:tcBorders>
              <w:top w:val="single" w:color="auto" w:sz="4" w:space="0"/>
              <w:left w:val="single" w:color="auto" w:sz="4" w:space="0"/>
              <w:bottom w:val="single" w:color="auto" w:sz="4" w:space="0"/>
              <w:right w:val="single" w:color="auto" w:sz="4" w:space="0"/>
            </w:tcBorders>
            <w:vAlign w:val="center"/>
          </w:tcPr>
          <w:p>
            <w:pPr>
              <w:autoSpaceDN w:val="0"/>
              <w:spacing w:line="271" w:lineRule="auto"/>
              <w:jc w:val="center"/>
              <w:rPr>
                <w:rFonts w:ascii="方正仿宋简体" w:eastAsia="方正仿宋简体" w:cs="方正仿宋简体"/>
                <w:kern w:val="0"/>
                <w:szCs w:val="21"/>
              </w:rPr>
            </w:pPr>
            <w:r>
              <w:rPr>
                <w:rFonts w:hint="eastAsia" w:ascii="方正仿宋简体" w:eastAsia="方正仿宋简体" w:cs="方正仿宋简体"/>
                <w:szCs w:val="21"/>
              </w:rPr>
              <w:t>严重</w:t>
            </w:r>
          </w:p>
        </w:tc>
        <w:tc>
          <w:tcPr>
            <w:tcW w:w="1928" w:type="dxa"/>
            <w:tcBorders>
              <w:top w:val="single" w:color="auto" w:sz="4" w:space="0"/>
              <w:left w:val="single" w:color="auto" w:sz="4" w:space="0"/>
              <w:bottom w:val="single" w:color="auto" w:sz="4" w:space="0"/>
              <w:right w:val="single" w:color="auto" w:sz="4" w:space="0"/>
            </w:tcBorders>
            <w:vAlign w:val="center"/>
          </w:tcPr>
          <w:p>
            <w:pPr>
              <w:widowControl/>
              <w:autoSpaceDN w:val="0"/>
              <w:rPr>
                <w:rFonts w:ascii="方正仿宋简体" w:eastAsia="方正仿宋简体" w:cs="方正仿宋简体"/>
                <w:kern w:val="0"/>
                <w:szCs w:val="21"/>
              </w:rPr>
            </w:pPr>
            <w:r>
              <w:rPr>
                <w:rFonts w:hint="eastAsia" w:ascii="方正仿宋简体" w:eastAsia="方正仿宋_GBK" w:cs="方正仿宋简体"/>
                <w:kern w:val="0"/>
                <w:szCs w:val="21"/>
              </w:rPr>
              <w:t>发生群体性讨薪行为的</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autoSpaceDN w:val="0"/>
              <w:rPr>
                <w:rFonts w:ascii="方正仿宋简体" w:eastAsia="方正仿宋简体" w:cs="方正仿宋简体"/>
                <w:kern w:val="0"/>
                <w:szCs w:val="21"/>
              </w:rPr>
            </w:pPr>
            <w:r>
              <w:rPr>
                <w:rFonts w:hint="eastAsia" w:ascii="方正仿宋简体" w:eastAsia="方正仿宋_GBK" w:cs="方正仿宋简体"/>
                <w:kern w:val="0"/>
                <w:szCs w:val="21"/>
              </w:rPr>
              <w:t>处8.5万元以上10万元以下罚款</w:t>
            </w:r>
          </w:p>
        </w:tc>
        <w:tc>
          <w:tcPr>
            <w:tcW w:w="11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Cs w:val="21"/>
              </w:rPr>
            </w:pPr>
          </w:p>
        </w:tc>
      </w:tr>
    </w:tbl>
    <w:p>
      <w:pPr>
        <w:pStyle w:val="12"/>
        <w:spacing w:line="800" w:lineRule="exact"/>
        <w:rPr>
          <w:rFonts w:hint="eastAsia"/>
          <w:color w:val="auto"/>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宋体"/>
    <w:panose1 w:val="00000000000000000000"/>
    <w:charset w:val="86"/>
    <w:family w:val="roman"/>
    <w:pitch w:val="default"/>
    <w:sig w:usb0="00000000" w:usb1="00000000" w:usb2="00000010" w:usb3="00000000" w:csb0="00040000" w:csb1="00000000"/>
  </w:font>
  <w:font w:name="Adobe 宋体 Std L">
    <w:altName w:val="宋体"/>
    <w:panose1 w:val="00000000000000000000"/>
    <w:charset w:val="86"/>
    <w:family w:val="roman"/>
    <w:pitch w:val="default"/>
    <w:sig w:usb0="00000000" w:usb1="00000000" w:usb2="0000001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方正小标宋_GBK">
    <w:altName w:val="宋体"/>
    <w:panose1 w:val="00000000000000000000"/>
    <w:charset w:val="86"/>
    <w:family w:val="roman"/>
    <w:pitch w:val="default"/>
    <w:sig w:usb0="00000000" w:usb1="00000000" w:usb2="00000010" w:usb3="00000000" w:csb0="00040000" w:csb1="00000000"/>
  </w:font>
  <w:font w:name="方正楷体_GBK">
    <w:altName w:val="宋体"/>
    <w:panose1 w:val="00000000000000000000"/>
    <w:charset w:val="86"/>
    <w:family w:val="roman"/>
    <w:pitch w:val="default"/>
    <w:sig w:usb0="00000000" w:usb1="00000000" w:usb2="00000010" w:usb3="00000000" w:csb0="00040000" w:csb1="00000000"/>
  </w:font>
  <w:font w:name="方正黑体_GBK">
    <w:altName w:val="宋体"/>
    <w:panose1 w:val="00000000000000000000"/>
    <w:charset w:val="86"/>
    <w:family w:val="roman"/>
    <w:pitch w:val="default"/>
    <w:sig w:usb0="00000000" w:usb1="00000000" w:usb2="00000010" w:usb3="00000000" w:csb0="00040000" w:csb1="00000000"/>
  </w:font>
  <w:font w:name="方正仿宋简体">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noPunctuationKerning w:val="1"/>
  <w:characterSpacingControl w:val="doNotCompress"/>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E0ZGViNGFkYzdjNDkyMGNhY2RlNjBmMzEzNGE1NDUifQ=="/>
  </w:docVars>
  <w:rsids>
    <w:rsidRoot w:val="00D42F0A"/>
    <w:rsid w:val="000302B8"/>
    <w:rsid w:val="000B381A"/>
    <w:rsid w:val="000F5C74"/>
    <w:rsid w:val="001A0000"/>
    <w:rsid w:val="00310BF7"/>
    <w:rsid w:val="00322DDD"/>
    <w:rsid w:val="0033534D"/>
    <w:rsid w:val="003E0634"/>
    <w:rsid w:val="00455781"/>
    <w:rsid w:val="00560D3D"/>
    <w:rsid w:val="005B029E"/>
    <w:rsid w:val="005B1FD3"/>
    <w:rsid w:val="006266A6"/>
    <w:rsid w:val="006E2604"/>
    <w:rsid w:val="00814403"/>
    <w:rsid w:val="00876DDF"/>
    <w:rsid w:val="009860DE"/>
    <w:rsid w:val="00C96768"/>
    <w:rsid w:val="00D15F5D"/>
    <w:rsid w:val="00D37EA1"/>
    <w:rsid w:val="00D42F0A"/>
    <w:rsid w:val="00DF4FB7"/>
    <w:rsid w:val="00EA6AB6"/>
    <w:rsid w:val="79FF650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4">
    <w:name w:val="heading 1"/>
    <w:basedOn w:val="1"/>
    <w:next w:val="1"/>
    <w:link w:val="17"/>
    <w:qFormat/>
    <w:uiPriority w:val="9"/>
    <w:pPr>
      <w:keepNext/>
      <w:keepLines/>
      <w:snapToGrid w:val="0"/>
      <w:outlineLvl w:val="0"/>
    </w:pPr>
    <w:rPr>
      <w:b/>
      <w:kern w:val="44"/>
      <w:sz w:val="32"/>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14"/>
    <w:semiHidden/>
    <w:unhideWhenUsed/>
    <w:uiPriority w:val="99"/>
    <w:pPr>
      <w:ind w:firstLine="420" w:firstLineChars="200"/>
    </w:pPr>
  </w:style>
  <w:style w:type="paragraph" w:styleId="3">
    <w:name w:val="Body Text Indent"/>
    <w:basedOn w:val="1"/>
    <w:link w:val="13"/>
    <w:semiHidden/>
    <w:unhideWhenUsed/>
    <w:uiPriority w:val="99"/>
    <w:pPr>
      <w:spacing w:after="120"/>
      <w:ind w:left="420" w:leftChars="200"/>
    </w:pPr>
  </w:style>
  <w:style w:type="paragraph" w:styleId="5">
    <w:name w:val="Date"/>
    <w:basedOn w:val="1"/>
    <w:next w:val="1"/>
    <w:link w:val="15"/>
    <w:semiHidden/>
    <w:unhideWhenUsed/>
    <w:uiPriority w:val="99"/>
    <w:pPr>
      <w:ind w:left="100" w:leftChars="2500"/>
    </w:pPr>
  </w:style>
  <w:style w:type="paragraph" w:styleId="6">
    <w:name w:val="footer"/>
    <w:basedOn w:val="1"/>
    <w:link w:val="11"/>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0"/>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10">
    <w:name w:val="页眉 Char"/>
    <w:basedOn w:val="9"/>
    <w:link w:val="7"/>
    <w:semiHidden/>
    <w:uiPriority w:val="99"/>
    <w:rPr>
      <w:sz w:val="18"/>
      <w:szCs w:val="18"/>
    </w:rPr>
  </w:style>
  <w:style w:type="character" w:customStyle="1" w:styleId="11">
    <w:name w:val="页脚 Char"/>
    <w:basedOn w:val="9"/>
    <w:link w:val="6"/>
    <w:semiHidden/>
    <w:uiPriority w:val="99"/>
    <w:rPr>
      <w:sz w:val="18"/>
      <w:szCs w:val="18"/>
    </w:rPr>
  </w:style>
  <w:style w:type="paragraph" w:customStyle="1" w:styleId="12">
    <w:name w:val="Default"/>
    <w:uiPriority w:val="0"/>
    <w:pPr>
      <w:widowControl w:val="0"/>
      <w:autoSpaceDE w:val="0"/>
      <w:autoSpaceDN w:val="0"/>
      <w:adjustRightInd w:val="0"/>
    </w:pPr>
    <w:rPr>
      <w:rFonts w:ascii="方正仿宋_GBK" w:hAnsi="宋体" w:eastAsia="方正仿宋_GBK" w:cs="方正仿宋_GBK"/>
      <w:color w:val="000000"/>
      <w:kern w:val="0"/>
      <w:sz w:val="24"/>
      <w:szCs w:val="24"/>
      <w:lang w:val="en-US" w:eastAsia="zh-CN" w:bidi="ar-SA"/>
    </w:rPr>
  </w:style>
  <w:style w:type="character" w:customStyle="1" w:styleId="13">
    <w:name w:val="正文文本缩进 Char"/>
    <w:basedOn w:val="9"/>
    <w:link w:val="3"/>
    <w:semiHidden/>
    <w:uiPriority w:val="99"/>
    <w:rPr>
      <w:rFonts w:ascii="Times New Roman" w:hAnsi="Times New Roman" w:eastAsia="宋体" w:cs="Times New Roman"/>
      <w:szCs w:val="20"/>
    </w:rPr>
  </w:style>
  <w:style w:type="character" w:customStyle="1" w:styleId="14">
    <w:name w:val="正文首行缩进 2 Char"/>
    <w:basedOn w:val="13"/>
    <w:link w:val="2"/>
    <w:semiHidden/>
    <w:uiPriority w:val="99"/>
  </w:style>
  <w:style w:type="character" w:customStyle="1" w:styleId="15">
    <w:name w:val="日期 Char"/>
    <w:basedOn w:val="9"/>
    <w:link w:val="5"/>
    <w:semiHidden/>
    <w:uiPriority w:val="99"/>
    <w:rPr>
      <w:rFonts w:ascii="Times New Roman" w:hAnsi="Times New Roman" w:eastAsia="宋体" w:cs="Times New Roman"/>
      <w:szCs w:val="20"/>
    </w:rPr>
  </w:style>
  <w:style w:type="paragraph" w:customStyle="1" w:styleId="16">
    <w:name w:val="[基本段落]"/>
    <w:basedOn w:val="1"/>
    <w:uiPriority w:val="0"/>
    <w:pPr>
      <w:autoSpaceDE w:val="0"/>
      <w:autoSpaceDN w:val="0"/>
      <w:adjustRightInd w:val="0"/>
      <w:spacing w:line="288" w:lineRule="auto"/>
      <w:textAlignment w:val="center"/>
    </w:pPr>
    <w:rPr>
      <w:rFonts w:ascii="Adobe 宋体 Std L" w:hAnsi="宋体" w:eastAsia="Adobe 宋体 Std L" w:cs="Adobe 宋体 Std L"/>
      <w:color w:val="000000"/>
      <w:kern w:val="0"/>
      <w:sz w:val="24"/>
      <w:szCs w:val="24"/>
      <w:lang w:val="zh-CN"/>
    </w:rPr>
  </w:style>
  <w:style w:type="character" w:customStyle="1" w:styleId="17">
    <w:name w:val="标题 1 Char"/>
    <w:basedOn w:val="9"/>
    <w:link w:val="4"/>
    <w:uiPriority w:val="9"/>
    <w:rPr>
      <w:rFonts w:ascii="Times New Roman" w:hAnsi="Times New Roman" w:eastAsia="宋体" w:cs="Times New Roman"/>
      <w:b/>
      <w:kern w:val="44"/>
      <w:sz w:val="32"/>
      <w:szCs w:val="20"/>
    </w:rPr>
  </w:style>
  <w:style w:type="character" w:customStyle="1" w:styleId="18">
    <w:name w:val="标题 1 Char Char Char"/>
    <w:uiPriority w:val="0"/>
    <w:rPr>
      <w:b/>
      <w:bCs/>
      <w:kern w:val="44"/>
      <w:sz w:val="44"/>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Yozosoft</Company>
  <Pages>36</Pages>
  <Words>2550</Words>
  <Characters>14541</Characters>
  <Lines>121</Lines>
  <Paragraphs>34</Paragraphs>
  <TotalTime>55</TotalTime>
  <ScaleCrop>false</ScaleCrop>
  <LinksUpToDate>false</LinksUpToDate>
  <CharactersWithSpaces>17057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2021-05-08T07:28:00Z</dcterms:created>
  <dc:creator>User274</dc:creator>
  <cp:lastModifiedBy>秦海一滴水</cp:lastModifiedBy>
  <dcterms:modified xsi:type="dcterms:W3CDTF">2023-11-24T08:29:40Z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C1179850FF604A46BD2EE7D552C80149_12</vt:lpwstr>
  </property>
</Properties>
</file>