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jc w:val="center"/>
        <w:rPr>
          <w:rFonts w:hint="eastAsia"/>
          <w:b/>
          <w:bCs/>
          <w:vanish w:val="0"/>
          <w:kern w:val="2"/>
          <w:sz w:val="44"/>
          <w:szCs w:val="44"/>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jc w:val="center"/>
        <w:rPr>
          <w:rFonts w:hint="eastAsia"/>
          <w:b/>
          <w:bCs/>
          <w:vanish w:val="0"/>
          <w:kern w:val="2"/>
          <w:sz w:val="44"/>
          <w:szCs w:val="44"/>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jc w:val="center"/>
        <w:rPr>
          <w:rFonts w:hint="eastAsia"/>
          <w:b/>
          <w:bCs/>
          <w:vanish w:val="0"/>
          <w:kern w:val="2"/>
          <w:sz w:val="44"/>
          <w:szCs w:val="44"/>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jc w:val="center"/>
        <w:rPr>
          <w:rFonts w:hint="eastAsia" w:ascii="宋体" w:eastAsia="宋体"/>
          <w:b/>
          <w:bCs/>
          <w:vanish w:val="0"/>
          <w:kern w:val="2"/>
          <w:sz w:val="44"/>
          <w:szCs w:val="44"/>
          <w:lang w:eastAsia="zh-CN"/>
        </w:rPr>
      </w:pPr>
      <w:r>
        <w:rPr>
          <w:rFonts w:hint="eastAsia"/>
          <w:b/>
          <w:bCs/>
          <w:vanish w:val="0"/>
          <w:kern w:val="2"/>
          <w:sz w:val="44"/>
          <w:szCs w:val="44"/>
          <w:lang w:eastAsia="zh-CN"/>
        </w:rPr>
        <w:t>秦皇岛市住房和城乡建设局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jc w:val="center"/>
        <w:rPr>
          <w:rFonts w:ascii="宋体" w:eastAsia="宋体"/>
          <w:b/>
          <w:bCs/>
          <w:vanish w:val="0"/>
          <w:kern w:val="2"/>
          <w:sz w:val="44"/>
          <w:szCs w:val="44"/>
        </w:rPr>
      </w:pPr>
      <w:r>
        <w:rPr>
          <w:rFonts w:hint="eastAsia"/>
          <w:b/>
          <w:bCs/>
          <w:vanish w:val="0"/>
          <w:kern w:val="2"/>
          <w:sz w:val="44"/>
          <w:szCs w:val="44"/>
          <w:lang w:eastAsia="zh-CN"/>
        </w:rPr>
        <w:t>关于印发《</w:t>
      </w:r>
      <w:r>
        <w:rPr>
          <w:rFonts w:hint="eastAsia"/>
          <w:b/>
          <w:bCs/>
          <w:vanish w:val="0"/>
          <w:kern w:val="2"/>
          <w:sz w:val="44"/>
          <w:szCs w:val="44"/>
          <w:lang w:val="en-US" w:eastAsia="zh-CN"/>
        </w:rPr>
        <w:t>2019年下半年</w:t>
      </w:r>
      <w:r>
        <w:rPr>
          <w:rFonts w:hint="eastAsia"/>
          <w:b/>
          <w:bCs/>
          <w:vanish w:val="0"/>
          <w:kern w:val="2"/>
          <w:sz w:val="44"/>
          <w:szCs w:val="44"/>
          <w:lang w:eastAsia="zh-CN"/>
        </w:rPr>
        <w:t>房地产中介机构“</w:t>
      </w:r>
      <w:r>
        <w:rPr>
          <w:rFonts w:hint="eastAsia" w:ascii="宋体" w:eastAsia="宋体"/>
          <w:b/>
          <w:bCs/>
          <w:vanish w:val="0"/>
          <w:kern w:val="2"/>
          <w:sz w:val="44"/>
          <w:szCs w:val="44"/>
        </w:rPr>
        <w:t>双随机</w:t>
      </w:r>
      <w:r>
        <w:rPr>
          <w:rFonts w:hint="eastAsia"/>
          <w:b/>
          <w:bCs/>
          <w:vanish w:val="0"/>
          <w:kern w:val="2"/>
          <w:sz w:val="44"/>
          <w:szCs w:val="44"/>
          <w:lang w:eastAsia="zh-CN"/>
        </w:rPr>
        <w:t>、</w:t>
      </w:r>
      <w:r>
        <w:rPr>
          <w:rFonts w:hint="eastAsia" w:ascii="宋体" w:eastAsia="宋体"/>
          <w:b/>
          <w:bCs/>
          <w:vanish w:val="0"/>
          <w:kern w:val="2"/>
          <w:sz w:val="44"/>
          <w:szCs w:val="44"/>
        </w:rPr>
        <w:t>一公开</w:t>
      </w:r>
      <w:r>
        <w:rPr>
          <w:rFonts w:hint="eastAsia"/>
          <w:b/>
          <w:bCs/>
          <w:vanish w:val="0"/>
          <w:kern w:val="2"/>
          <w:sz w:val="44"/>
          <w:szCs w:val="44"/>
          <w:lang w:eastAsia="zh-CN"/>
        </w:rPr>
        <w:t>”</w:t>
      </w:r>
      <w:r>
        <w:rPr>
          <w:rFonts w:hint="eastAsia" w:ascii="宋体" w:eastAsia="宋体"/>
          <w:b/>
          <w:bCs/>
          <w:vanish w:val="0"/>
          <w:kern w:val="2"/>
          <w:sz w:val="44"/>
          <w:szCs w:val="44"/>
        </w:rPr>
        <w:t>实施方案</w:t>
      </w:r>
      <w:r>
        <w:rPr>
          <w:rFonts w:hint="eastAsia"/>
          <w:b/>
          <w:bCs/>
          <w:vanish w:val="0"/>
          <w:kern w:val="2"/>
          <w:sz w:val="44"/>
          <w:szCs w:val="44"/>
          <w:lang w:eastAsia="zh-CN"/>
        </w:rPr>
        <w:t>》的通知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right="0"/>
        <w:jc w:val="left"/>
        <w:rPr>
          <w:rFonts w:hint="eastAsia"/>
          <w:vanish w:val="0"/>
          <w:kern w:val="2"/>
          <w:sz w:val="32"/>
          <w:szCs w:val="32"/>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right="0"/>
        <w:jc w:val="left"/>
        <w:rPr>
          <w:rFonts w:hint="eastAsia" w:ascii="仿宋" w:hAnsi="仿宋" w:eastAsia="仿宋" w:cs="仿宋"/>
          <w:vanish w:val="0"/>
          <w:kern w:val="2"/>
          <w:sz w:val="32"/>
          <w:szCs w:val="32"/>
          <w:lang w:eastAsia="zh-CN"/>
        </w:rPr>
      </w:pPr>
      <w:r>
        <w:rPr>
          <w:rFonts w:hint="eastAsia" w:ascii="仿宋" w:hAnsi="仿宋" w:eastAsia="仿宋" w:cs="仿宋"/>
          <w:vanish w:val="0"/>
          <w:kern w:val="2"/>
          <w:sz w:val="32"/>
          <w:szCs w:val="32"/>
          <w:lang w:eastAsia="zh-CN"/>
        </w:rPr>
        <w:t>局机关相关科室，各房地产中介机构：</w:t>
      </w:r>
    </w:p>
    <w:p>
      <w:pPr>
        <w:pStyle w:val="5"/>
        <w:ind w:left="0" w:leftChars="0" w:firstLine="640" w:firstLineChars="200"/>
        <w:jc w:val="both"/>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现将《房地产</w:t>
      </w:r>
      <w: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t>中介</w:t>
      </w: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机构“双随机</w:t>
      </w:r>
      <w: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t>、</w:t>
      </w: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一公开”实施方案》印发给你们，请</w:t>
      </w:r>
      <w: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t>结合本部门实际，认真组织实施。</w:t>
      </w: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tabs>
          <w:tab w:val="left" w:pos="5536"/>
        </w:tabs>
        <w:ind w:firstLine="3840" w:firstLineChars="1200"/>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秦皇岛市住房保障和房产管理局</w:t>
      </w:r>
    </w:p>
    <w:p>
      <w:pPr>
        <w:tabs>
          <w:tab w:val="left" w:pos="5251"/>
        </w:tabs>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ab/>
      </w: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201</w:t>
      </w: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9</w:t>
      </w: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年</w:t>
      </w: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11</w:t>
      </w: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月</w:t>
      </w: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12</w:t>
      </w:r>
      <w:r>
        <w:rPr>
          <w:rFonts w:hint="eastAsia" w:ascii="仿宋" w:hAnsi="Times New Roman" w:eastAsia="仿宋" w:cs="仿宋"/>
          <w:snapToGrid/>
          <w:vanish w:val="0"/>
          <w:color w:val="auto"/>
          <w:spacing w:val="0"/>
          <w:w w:val="100"/>
          <w:kern w:val="2"/>
          <w:position w:val="0"/>
          <w:sz w:val="32"/>
          <w:szCs w:val="32"/>
          <w:u w:val="none" w:color="auto"/>
          <w:shd w:val="clear" w:color="auto" w:fill="auto"/>
          <w:vertAlign w:val="baseline"/>
          <w:lang w:val="en-US" w:eastAsia="zh-CN" w:bidi="ar-SA"/>
        </w:rPr>
        <w:t>日</w:t>
      </w: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p>
    <w:p>
      <w:pPr>
        <w:rPr>
          <w:rFonts w:hint="eastAsia"/>
          <w:b/>
          <w:bCs/>
          <w:vanish w:val="0"/>
          <w:kern w:val="2"/>
          <w:sz w:val="44"/>
          <w:szCs w:val="44"/>
          <w:lang w:eastAsia="zh-CN"/>
        </w:rPr>
      </w:pPr>
      <w:bookmarkStart w:id="0" w:name="_GoBack"/>
      <w:bookmarkEnd w:id="0"/>
    </w:p>
    <w:p>
      <w:pPr>
        <w:jc w:val="center"/>
        <w:rPr>
          <w:rFonts w:hint="eastAsia"/>
          <w:b/>
          <w:bCs/>
          <w:vanish w:val="0"/>
          <w:kern w:val="2"/>
          <w:sz w:val="44"/>
          <w:szCs w:val="44"/>
          <w:lang w:eastAsia="zh-CN"/>
        </w:rPr>
      </w:pPr>
      <w:r>
        <w:rPr>
          <w:rFonts w:hint="eastAsia"/>
          <w:b/>
          <w:bCs/>
          <w:vanish w:val="0"/>
          <w:kern w:val="2"/>
          <w:sz w:val="44"/>
          <w:szCs w:val="44"/>
          <w:lang w:val="en-US" w:eastAsia="zh-CN"/>
        </w:rPr>
        <w:t>2019年下半年</w:t>
      </w:r>
      <w:r>
        <w:rPr>
          <w:rFonts w:hint="eastAsia"/>
          <w:b/>
          <w:bCs/>
          <w:vanish w:val="0"/>
          <w:kern w:val="2"/>
          <w:sz w:val="44"/>
          <w:szCs w:val="44"/>
          <w:lang w:eastAsia="zh-CN"/>
        </w:rPr>
        <w:t>房地产中介机构</w:t>
      </w:r>
    </w:p>
    <w:p>
      <w:pPr>
        <w:jc w:val="center"/>
        <w:rPr>
          <w:rFonts w:hint="eastAsia" w:cs="仿宋"/>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b/>
          <w:bCs/>
          <w:vanish w:val="0"/>
          <w:kern w:val="2"/>
          <w:sz w:val="44"/>
          <w:szCs w:val="44"/>
          <w:lang w:eastAsia="zh-CN"/>
        </w:rPr>
        <w:t>“</w:t>
      </w:r>
      <w:r>
        <w:rPr>
          <w:rFonts w:hint="eastAsia" w:ascii="宋体" w:eastAsia="宋体"/>
          <w:b/>
          <w:bCs/>
          <w:vanish w:val="0"/>
          <w:kern w:val="2"/>
          <w:sz w:val="44"/>
          <w:szCs w:val="44"/>
        </w:rPr>
        <w:t>双随机</w:t>
      </w:r>
      <w:r>
        <w:rPr>
          <w:rFonts w:hint="eastAsia" w:ascii="宋体"/>
          <w:b/>
          <w:bCs/>
          <w:vanish w:val="0"/>
          <w:kern w:val="2"/>
          <w:sz w:val="44"/>
          <w:szCs w:val="44"/>
          <w:lang w:eastAsia="zh-CN"/>
        </w:rPr>
        <w:t>、</w:t>
      </w:r>
      <w:r>
        <w:rPr>
          <w:rFonts w:hint="eastAsia" w:ascii="宋体" w:eastAsia="宋体"/>
          <w:b/>
          <w:bCs/>
          <w:vanish w:val="0"/>
          <w:kern w:val="2"/>
          <w:sz w:val="44"/>
          <w:szCs w:val="44"/>
        </w:rPr>
        <w:t>一公开</w:t>
      </w:r>
      <w:r>
        <w:rPr>
          <w:rFonts w:hint="eastAsia"/>
          <w:b/>
          <w:bCs/>
          <w:vanish w:val="0"/>
          <w:kern w:val="2"/>
          <w:sz w:val="44"/>
          <w:szCs w:val="44"/>
          <w:lang w:eastAsia="zh-CN"/>
        </w:rPr>
        <w:t>”</w:t>
      </w:r>
      <w:r>
        <w:rPr>
          <w:rFonts w:hint="eastAsia" w:ascii="宋体" w:eastAsia="宋体"/>
          <w:b/>
          <w:bCs/>
          <w:vanish w:val="0"/>
          <w:kern w:val="2"/>
          <w:sz w:val="44"/>
          <w:szCs w:val="44"/>
        </w:rPr>
        <w:t>实施方案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before="0" w:beforeAutospacing="0" w:after="0" w:afterAutospacing="0"/>
        <w:ind w:left="0" w:right="0" w:firstLine="640" w:firstLineChars="200"/>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before="0" w:beforeAutospacing="0" w:after="0" w:afterAutospacing="0"/>
        <w:ind w:left="0" w:right="0" w:firstLine="640" w:firstLineChars="200"/>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 xml:space="preserve">根据秦皇岛市住房和城乡建设局关于印发《2019年“双随机、一公开”监管工作实施方案》的通知精神和上级有关文件要求，结合年度工作计划，制定本方案。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0"/>
        </w:tabs>
        <w:suppressAutoHyphens w:val="0"/>
        <w:kinsoku/>
        <w:wordWrap/>
        <w:overflowPunct/>
        <w:topLinePunct w:val="0"/>
        <w:autoSpaceDE/>
        <w:autoSpaceDN/>
        <w:spacing w:before="0" w:beforeAutospacing="0" w:after="0" w:afterAutospacing="0"/>
        <w:ind w:left="420" w:leftChars="200" w:right="0" w:firstLine="320" w:firstLineChars="100"/>
        <w:rPr>
          <w:rFonts w:hint="eastAsia" w:ascii="黑体" w:hAnsi="黑体" w:eastAsia="黑体" w:cs="黑体"/>
          <w:vanish w:val="0"/>
          <w:kern w:val="2"/>
          <w:sz w:val="28"/>
          <w:szCs w:val="28"/>
        </w:rPr>
      </w:pPr>
      <w:r>
        <w:rPr>
          <w:rFonts w:hint="eastAsia" w:ascii="黑体" w:hAnsi="黑体" w:eastAsia="黑体" w:cs="黑体"/>
          <w:b w:val="0"/>
          <w:bCs w:val="0"/>
          <w:snapToGrid/>
          <w:vanish w:val="0"/>
          <w:color w:val="auto"/>
          <w:spacing w:val="0"/>
          <w:w w:val="100"/>
          <w:kern w:val="2"/>
          <w:position w:val="0"/>
          <w:sz w:val="32"/>
          <w:szCs w:val="32"/>
          <w:u w:val="none" w:color="auto"/>
          <w:shd w:val="clear" w:color="auto" w:fill="auto"/>
          <w:vertAlign w:val="baseline"/>
          <w:lang w:val="en-US" w:eastAsia="zh-CN" w:bidi="ar-SA"/>
        </w:rPr>
        <w:t xml:space="preserve">一、指导思想和基本原则 </w:t>
      </w:r>
      <w:r>
        <w:rPr>
          <w:rFonts w:hint="eastAsia" w:ascii="黑体" w:hAnsi="黑体" w:eastAsia="黑体" w:cs="黑体"/>
          <w:vanish w:val="0"/>
          <w:kern w:val="2"/>
          <w:sz w:val="28"/>
          <w:szCs w:val="28"/>
        </w:rPr>
        <w:t xml:space="preserve"> </w:t>
      </w:r>
    </w:p>
    <w:p>
      <w:pPr>
        <w:pStyle w:val="6"/>
        <w:spacing w:before="0" w:beforeAutospacing="0" w:after="0" w:afterAutospacing="0"/>
        <w:ind w:left="0" w:firstLine="640" w:firstLineChars="200"/>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（一）指导思想</w:t>
      </w:r>
      <w:r>
        <w:rPr>
          <w:rFonts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w:t>
      </w: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 xml:space="preserve">认真贯彻落实党的十九大精神，按照国务院和省、市政府简政放权、放管结合有关文件的要求，大力推广“随机抽取检查对象、随机选派检查人员”的“双随机、一公开”抽查机制，严格限制部门自由裁量权，规范监管行为，着力解决群众反映强烈的突出问题，提高监管效能，激发市场活力。  </w:t>
      </w:r>
    </w:p>
    <w:p>
      <w:pPr>
        <w:pStyle w:val="6"/>
        <w:spacing w:before="0" w:beforeAutospacing="0" w:after="0" w:afterAutospacing="0"/>
        <w:ind w:left="0" w:firstLine="640" w:firstLineChars="200"/>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（二）基本原则</w:t>
      </w:r>
      <w:r>
        <w:rPr>
          <w:rFonts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w:t>
      </w: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坚持依法监管，依法推进事中事后监管的规范化，落实监管责任，推进“双随机”抽查制度化、规范化;坚持公正高效，切实做到严格规范、公正文明执法，提升监管效能，减轻市场主体负担，优化市场环境。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tabs>
          <w:tab w:val="left" w:pos="0"/>
        </w:tabs>
        <w:suppressAutoHyphens w:val="0"/>
        <w:kinsoku/>
        <w:wordWrap/>
        <w:overflowPunct/>
        <w:topLinePunct w:val="0"/>
        <w:autoSpaceDE/>
        <w:autoSpaceDN/>
        <w:spacing w:before="0" w:beforeAutospacing="0" w:after="0" w:afterAutospacing="0"/>
        <w:ind w:left="420" w:leftChars="200" w:right="0" w:firstLine="320" w:firstLineChars="100"/>
        <w:rPr>
          <w:rFonts w:hint="eastAsia" w:ascii="黑体" w:hAnsi="黑体" w:eastAsia="黑体" w:cs="黑体"/>
          <w:b w:val="0"/>
          <w:bCs w:val="0"/>
          <w:vanish w:val="0"/>
          <w:kern w:val="2"/>
          <w:sz w:val="32"/>
          <w:szCs w:val="32"/>
          <w:lang w:eastAsia="zh-CN"/>
        </w:rPr>
      </w:pPr>
      <w:r>
        <w:rPr>
          <w:rFonts w:hint="eastAsia" w:ascii="黑体" w:hAnsi="黑体" w:eastAsia="黑体" w:cs="黑体"/>
          <w:b w:val="0"/>
          <w:bCs w:val="0"/>
          <w:vanish w:val="0"/>
          <w:kern w:val="2"/>
          <w:sz w:val="32"/>
          <w:szCs w:val="32"/>
          <w:lang w:eastAsia="zh-CN"/>
        </w:rPr>
        <w:t>二、计划安排</w:t>
      </w:r>
    </w:p>
    <w:p>
      <w:pPr>
        <w:pStyle w:val="6"/>
        <w:spacing w:before="0" w:beforeAutospacing="0" w:after="0" w:afterAutospacing="0"/>
        <w:ind w:left="0" w:firstLine="640" w:firstLineChars="200"/>
        <w:rPr>
          <w:rFonts w:hint="eastAsia" w:ascii="仿宋" w:eastAsia="仿宋" w:cs="仿宋"/>
          <w:bCs/>
          <w:sz w:val="32"/>
          <w:szCs w:val="32"/>
        </w:rPr>
      </w:pPr>
      <w:r>
        <w:rPr>
          <w:rFonts w:hint="eastAsia" w:ascii="仿宋" w:eastAsia="仿宋" w:cs="仿宋"/>
          <w:sz w:val="32"/>
          <w:szCs w:val="32"/>
        </w:rPr>
        <w:t>（一）</w:t>
      </w:r>
      <w:r>
        <w:rPr>
          <w:rFonts w:hint="eastAsia" w:ascii="仿宋" w:eastAsia="仿宋" w:cs="仿宋"/>
          <w:sz w:val="32"/>
          <w:szCs w:val="32"/>
          <w:lang w:eastAsia="zh-CN"/>
        </w:rPr>
        <w:t>抽查</w:t>
      </w:r>
      <w:r>
        <w:rPr>
          <w:rFonts w:hint="eastAsia" w:ascii="仿宋" w:eastAsia="仿宋" w:cs="仿宋"/>
          <w:sz w:val="32"/>
          <w:szCs w:val="32"/>
        </w:rPr>
        <w:t>时间。201</w:t>
      </w:r>
      <w:r>
        <w:rPr>
          <w:rFonts w:hint="eastAsia" w:ascii="仿宋" w:eastAsia="仿宋" w:cs="仿宋"/>
          <w:sz w:val="32"/>
          <w:szCs w:val="32"/>
          <w:lang w:val="en-US" w:eastAsia="zh-CN"/>
        </w:rPr>
        <w:t>9</w:t>
      </w:r>
      <w:r>
        <w:rPr>
          <w:rFonts w:hint="eastAsia" w:ascii="仿宋" w:eastAsia="仿宋" w:cs="仿宋"/>
          <w:sz w:val="32"/>
          <w:szCs w:val="32"/>
        </w:rPr>
        <w:t>年</w:t>
      </w:r>
      <w:r>
        <w:rPr>
          <w:rFonts w:hint="eastAsia" w:ascii="仿宋" w:eastAsia="仿宋" w:cs="仿宋"/>
          <w:sz w:val="32"/>
          <w:szCs w:val="32"/>
          <w:lang w:val="en-US" w:eastAsia="zh-CN"/>
        </w:rPr>
        <w:t>11</w:t>
      </w:r>
      <w:r>
        <w:rPr>
          <w:rFonts w:hint="eastAsia" w:ascii="仿宋" w:eastAsia="仿宋" w:cs="仿宋"/>
          <w:sz w:val="32"/>
          <w:szCs w:val="32"/>
        </w:rPr>
        <w:t>月</w:t>
      </w:r>
      <w:r>
        <w:rPr>
          <w:rFonts w:hint="eastAsia" w:ascii="仿宋" w:eastAsia="仿宋" w:cs="仿宋"/>
          <w:sz w:val="32"/>
          <w:szCs w:val="32"/>
          <w:lang w:val="en-US" w:eastAsia="zh-CN"/>
        </w:rPr>
        <w:t>11</w:t>
      </w:r>
      <w:r>
        <w:rPr>
          <w:rFonts w:hint="eastAsia" w:ascii="仿宋" w:eastAsia="仿宋" w:cs="仿宋"/>
          <w:sz w:val="32"/>
          <w:szCs w:val="32"/>
        </w:rPr>
        <w:t>日。</w:t>
      </w:r>
    </w:p>
    <w:p>
      <w:pPr>
        <w:pStyle w:val="6"/>
        <w:spacing w:before="0" w:beforeAutospacing="0" w:after="0" w:afterAutospacing="0"/>
        <w:ind w:left="0" w:firstLine="640" w:firstLineChars="200"/>
        <w:rPr>
          <w:rFonts w:hint="eastAsia" w:ascii="仿宋" w:eastAsia="仿宋" w:cs="仿宋"/>
          <w:sz w:val="32"/>
          <w:szCs w:val="32"/>
          <w:lang w:eastAsia="zh-CN"/>
        </w:rPr>
      </w:pPr>
      <w:r>
        <w:rPr>
          <w:rFonts w:hint="eastAsia" w:ascii="仿宋" w:eastAsia="仿宋" w:cs="仿宋"/>
          <w:bCs/>
          <w:sz w:val="32"/>
          <w:szCs w:val="32"/>
          <w:lang w:eastAsia="zh-CN"/>
        </w:rPr>
        <w:t>（二）抽查依据</w:t>
      </w:r>
      <w:r>
        <w:rPr>
          <w:rFonts w:ascii="仿宋" w:eastAsia="仿宋" w:cs="仿宋"/>
          <w:bCs/>
          <w:sz w:val="32"/>
          <w:szCs w:val="32"/>
          <w:lang w:eastAsia="zh-CN"/>
        </w:rPr>
        <w:t>。</w:t>
      </w:r>
      <w:r>
        <w:rPr>
          <w:rFonts w:hint="eastAsia" w:ascii="仿宋" w:eastAsia="仿宋" w:cs="仿宋"/>
          <w:sz w:val="32"/>
          <w:szCs w:val="32"/>
          <w:lang w:val="en-US" w:eastAsia="zh-CN"/>
        </w:rPr>
        <w:t>《房地产经纪管理办法》第二十八条和</w:t>
      </w:r>
      <w:r>
        <w:rPr>
          <w:rFonts w:hint="eastAsia" w:ascii="仿宋" w:eastAsia="仿宋" w:cs="仿宋"/>
          <w:sz w:val="32"/>
          <w:szCs w:val="32"/>
          <w:lang w:eastAsia="zh-CN"/>
        </w:rPr>
        <w:t>《房</w:t>
      </w:r>
    </w:p>
    <w:p>
      <w:pPr>
        <w:pStyle w:val="6"/>
        <w:spacing w:before="0" w:beforeAutospacing="0" w:after="0" w:afterAutospacing="0"/>
        <w:rPr>
          <w:rFonts w:hint="eastAsia"/>
          <w:lang w:val="en-US" w:eastAsia="zh-CN"/>
        </w:rPr>
      </w:pPr>
      <w:r>
        <w:rPr>
          <w:rFonts w:hint="eastAsia" w:ascii="仿宋" w:eastAsia="仿宋" w:cs="仿宋"/>
          <w:sz w:val="32"/>
          <w:szCs w:val="32"/>
          <w:lang w:eastAsia="zh-CN"/>
        </w:rPr>
        <w:t>地产估价机构管理办法》第三十七条等有关规定。</w:t>
      </w:r>
    </w:p>
    <w:p>
      <w:pPr>
        <w:ind w:left="0" w:right="0" w:firstLine="681" w:firstLineChars="213"/>
        <w:rPr>
          <w:rFonts w:hint="eastAsia" w:ascii="仿宋" w:eastAsia="仿宋" w:cs="仿宋"/>
          <w:sz w:val="32"/>
          <w:szCs w:val="32"/>
          <w:lang w:eastAsia="zh-CN"/>
        </w:rPr>
      </w:pPr>
      <w:r>
        <w:rPr>
          <w:rFonts w:ascii="仿宋" w:eastAsia="仿宋" w:cs="仿宋"/>
          <w:bCs/>
          <w:sz w:val="32"/>
          <w:szCs w:val="32"/>
          <w:lang w:eastAsia="zh-CN"/>
        </w:rPr>
        <w:t>（三）</w:t>
      </w:r>
      <w:r>
        <w:rPr>
          <w:rFonts w:hint="eastAsia" w:ascii="仿宋" w:eastAsia="仿宋" w:cs="仿宋"/>
          <w:bCs/>
          <w:sz w:val="32"/>
          <w:szCs w:val="32"/>
          <w:lang w:eastAsia="zh-CN"/>
        </w:rPr>
        <w:t>抽查范围</w:t>
      </w:r>
      <w:r>
        <w:rPr>
          <w:rFonts w:ascii="仿宋" w:eastAsia="仿宋" w:cs="仿宋"/>
          <w:bCs/>
          <w:sz w:val="32"/>
          <w:szCs w:val="32"/>
        </w:rPr>
        <w:t>。</w:t>
      </w:r>
      <w:r>
        <w:rPr>
          <w:rFonts w:hint="eastAsia" w:ascii="仿宋" w:eastAsia="仿宋" w:cs="仿宋"/>
          <w:sz w:val="32"/>
          <w:szCs w:val="32"/>
          <w:lang w:eastAsia="zh-CN"/>
        </w:rPr>
        <w:t>海港区行政区域内已履行备案手续的房地产中介机构。</w:t>
      </w:r>
    </w:p>
    <w:p>
      <w:pPr>
        <w:pStyle w:val="6"/>
        <w:spacing w:before="0" w:beforeAutospacing="0" w:after="0" w:afterAutospacing="0"/>
        <w:ind w:left="0" w:firstLine="640" w:firstLineChars="200"/>
        <w:rPr>
          <w:rFonts w:hint="eastAsia" w:ascii="仿宋" w:eastAsia="仿宋" w:cs="仿宋"/>
          <w:sz w:val="32"/>
          <w:szCs w:val="32"/>
          <w:lang w:eastAsia="zh-CN"/>
        </w:rPr>
      </w:pPr>
      <w:r>
        <w:rPr>
          <w:rFonts w:ascii="仿宋" w:eastAsia="仿宋" w:cs="仿宋"/>
          <w:bCs/>
          <w:sz w:val="32"/>
          <w:szCs w:val="32"/>
          <w:lang w:eastAsia="zh-CN"/>
        </w:rPr>
        <w:t>（四）</w:t>
      </w:r>
      <w:r>
        <w:rPr>
          <w:rFonts w:hint="eastAsia" w:ascii="仿宋" w:eastAsia="仿宋" w:cs="仿宋"/>
          <w:sz w:val="32"/>
          <w:szCs w:val="32"/>
          <w:lang w:eastAsia="zh-CN"/>
        </w:rPr>
        <w:t>抽查比例不低于</w:t>
      </w:r>
      <w:r>
        <w:rPr>
          <w:rFonts w:hint="eastAsia" w:ascii="仿宋" w:eastAsia="仿宋" w:cs="仿宋"/>
          <w:sz w:val="32"/>
          <w:szCs w:val="32"/>
          <w:lang w:val="en-US" w:eastAsia="zh-CN"/>
        </w:rPr>
        <w:t>5%</w:t>
      </w:r>
      <w:r>
        <w:rPr>
          <w:rFonts w:hint="eastAsia" w:ascii="仿宋" w:eastAsia="仿宋" w:cs="仿宋"/>
          <w:sz w:val="32"/>
          <w:szCs w:val="32"/>
          <w:lang w:eastAsia="zh-CN"/>
        </w:rPr>
        <w:t>（不含已抽查合格的机构）</w:t>
      </w:r>
      <w:r>
        <w:rPr>
          <w:rFonts w:hint="eastAsia" w:ascii="仿宋" w:eastAsia="仿宋" w:cs="仿宋"/>
          <w:sz w:val="32"/>
          <w:szCs w:val="32"/>
          <w:lang w:val="en-US" w:eastAsia="zh-CN"/>
        </w:rPr>
        <w:t>。</w:t>
      </w:r>
    </w:p>
    <w:p>
      <w:pPr>
        <w:pStyle w:val="6"/>
        <w:spacing w:before="0" w:beforeAutospacing="0" w:after="0" w:afterAutospacing="0"/>
        <w:ind w:left="0" w:firstLine="640" w:firstLineChars="200"/>
        <w:rPr>
          <w:rFonts w:hint="eastAsia" w:ascii="仿宋" w:eastAsia="仿宋" w:cs="仿宋"/>
          <w:sz w:val="32"/>
          <w:szCs w:val="32"/>
          <w:lang w:val="en-US" w:eastAsia="zh-CN"/>
        </w:rPr>
      </w:pPr>
      <w:r>
        <w:rPr>
          <w:rFonts w:ascii="仿宋" w:eastAsia="仿宋" w:cs="仿宋"/>
          <w:bCs/>
          <w:sz w:val="32"/>
          <w:szCs w:val="32"/>
          <w:lang w:eastAsia="zh-CN"/>
        </w:rPr>
        <w:t>（五）</w:t>
      </w:r>
      <w:r>
        <w:rPr>
          <w:rFonts w:hint="eastAsia" w:ascii="仿宋" w:eastAsia="仿宋" w:cs="仿宋"/>
          <w:sz w:val="32"/>
          <w:szCs w:val="32"/>
          <w:lang w:val="en-US" w:eastAsia="zh-CN"/>
        </w:rPr>
        <w:t>抽查内容。1.房地产经纪机构是否按照规定如实记录业务情况或者保存房地产经纪服务合同；2.房地产经纪服务合同是否为由从事该业务的一名房地产经纪人或者两名房地产经纪人协理签名的；3.房地产经纪机构签订房地产经纪服务合同签，是否存在不向交易当事人说明和书面告知规定事项；4.房地产经纪机构是否存在未经委托人同意，擅自对外发布相应的房源信息；5.房地产估价机构是否存在超越资质等级业务范围承接房地产估价业务；6.房地产估价机构是否存在违反《房地产估价规范》出具估价报告等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tabs>
          <w:tab w:val="left" w:pos="0"/>
        </w:tabs>
        <w:suppressAutoHyphens w:val="0"/>
        <w:kinsoku/>
        <w:wordWrap/>
        <w:overflowPunct/>
        <w:topLinePunct w:val="0"/>
        <w:autoSpaceDE/>
        <w:autoSpaceDN/>
        <w:spacing w:before="0" w:beforeAutospacing="0" w:after="0" w:afterAutospacing="0"/>
        <w:ind w:left="420" w:leftChars="200" w:right="0" w:firstLine="320" w:firstLineChars="100"/>
        <w:rPr>
          <w:rFonts w:hint="eastAsia" w:ascii="黑体" w:hAnsi="黑体" w:eastAsia="黑体" w:cs="黑体"/>
          <w:b w:val="0"/>
          <w:bCs w:val="0"/>
          <w:vanish w:val="0"/>
          <w:kern w:val="2"/>
          <w:sz w:val="32"/>
          <w:szCs w:val="32"/>
          <w:lang w:eastAsia="zh-CN"/>
        </w:rPr>
      </w:pPr>
      <w:r>
        <w:rPr>
          <w:rFonts w:hint="eastAsia" w:ascii="黑体" w:hAnsi="黑体" w:eastAsia="黑体" w:cs="黑体"/>
          <w:b w:val="0"/>
          <w:bCs w:val="0"/>
          <w:vanish w:val="0"/>
          <w:kern w:val="2"/>
          <w:sz w:val="32"/>
          <w:szCs w:val="32"/>
          <w:lang w:eastAsia="zh-CN"/>
        </w:rPr>
        <w:t>三、主要措施</w:t>
      </w:r>
    </w:p>
    <w:p>
      <w:pPr>
        <w:pStyle w:val="6"/>
        <w:spacing w:before="0" w:beforeAutospacing="0" w:after="0" w:afterAutospacing="0"/>
        <w:ind w:left="0" w:firstLine="640" w:firstLineChars="200"/>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严格按照“双随机一公开”工作计划实施抽查，使之成为日常监管的主要方式。一是按照省、市“双随机、一公开”文件要求建立本部门监管的市场主体名录库； 二是建立以市场监管科行政执法人员为重点的名录库；三是制定了“双随机”抽查事项清单，明确抽查依据、抽查主体、抽查内容和抽查方式等，并向社会公布；四是实行动态管理。对市场主体名录库、执法检查人员名录库及“双随机”抽查事项清单实行动态管理，及时录入、更新相关信息，确保监管对象齐全、监管人员合格、监管事项合法。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rPr>
          <w:rFonts w:hint="eastAsia" w:ascii="宋体" w:eastAsia="宋体" w:cs="宋体"/>
          <w:b/>
          <w:bCs/>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 xml:space="preserve">    </w:t>
      </w:r>
      <w:r>
        <w:rPr>
          <w:rFonts w:hint="eastAsia" w:ascii="黑体" w:hAnsi="黑体" w:eastAsia="黑体" w:cs="黑体"/>
          <w:b w:val="0"/>
          <w:bCs w:val="0"/>
          <w:vanish w:val="0"/>
          <w:kern w:val="2"/>
          <w:sz w:val="32"/>
          <w:szCs w:val="32"/>
          <w:lang w:val="en-US" w:eastAsia="zh-CN"/>
        </w:rPr>
        <w:t xml:space="preserve">四、规范执法检查流程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ind w:right="0" w:firstLine="640" w:firstLineChars="200"/>
        <w:rPr>
          <w:rFonts w:hint="eastAsia" w:ascii="仿宋" w:eastAsia="仿宋" w:cs="仿宋"/>
          <w:vanish w:val="0"/>
          <w:kern w:val="2"/>
          <w:sz w:val="32"/>
          <w:szCs w:val="32"/>
        </w:rPr>
      </w:pPr>
      <w:r>
        <w:rPr>
          <w:rFonts w:hint="eastAsia" w:ascii="仿宋" w:eastAsia="仿宋" w:cs="仿宋"/>
          <w:snapToGrid/>
          <w:vanish w:val="0"/>
          <w:color w:val="auto"/>
          <w:spacing w:val="0"/>
          <w:w w:val="100"/>
          <w:kern w:val="2"/>
          <w:position w:val="0"/>
          <w:sz w:val="32"/>
          <w:szCs w:val="32"/>
          <w:u w:val="none" w:color="auto"/>
          <w:shd w:val="clear" w:color="auto" w:fill="auto"/>
          <w:vertAlign w:val="baseline"/>
          <w:lang w:val="en-US" w:eastAsia="zh-CN" w:bidi="ar-SA"/>
        </w:rPr>
        <w:t>一是积极探索开展联合检查。整合部门检查事项，制定并实施联合抽查计划，对同一市场主体的多个检查事项，原则上一次性完成，以提高执</w:t>
      </w:r>
      <w:r>
        <w:rPr>
          <w:rFonts w:hint="eastAsia" w:ascii="仿宋" w:eastAsia="仿宋" w:cs="仿宋"/>
          <w:vanish w:val="0"/>
          <w:kern w:val="2"/>
          <w:sz w:val="32"/>
          <w:szCs w:val="32"/>
        </w:rPr>
        <w:t>法效能</w:t>
      </w:r>
      <w:r>
        <w:rPr>
          <w:rFonts w:hint="eastAsia" w:ascii="仿宋" w:eastAsia="仿宋" w:cs="仿宋"/>
          <w:vanish w:val="0"/>
          <w:kern w:val="2"/>
          <w:sz w:val="32"/>
          <w:szCs w:val="32"/>
          <w:lang w:eastAsia="zh-CN"/>
        </w:rPr>
        <w:t>；二是</w:t>
      </w:r>
      <w:r>
        <w:rPr>
          <w:rFonts w:hint="eastAsia" w:ascii="仿宋" w:eastAsia="仿宋" w:cs="仿宋"/>
          <w:vanish w:val="0"/>
          <w:kern w:val="2"/>
          <w:sz w:val="32"/>
          <w:szCs w:val="32"/>
        </w:rPr>
        <w:t>合理确定抽查比例和频次。对国家部委、省级部门已部署抽查计划的，市级部门不再安排抽查;对市级部门已部署抽查计划的，县级部门不再安排抽查;对已抽查</w:t>
      </w:r>
      <w:r>
        <w:rPr>
          <w:rFonts w:hint="eastAsia" w:ascii="仿宋" w:eastAsia="仿宋" w:cs="仿宋"/>
          <w:vanish w:val="0"/>
          <w:kern w:val="2"/>
          <w:sz w:val="32"/>
          <w:szCs w:val="32"/>
          <w:lang w:eastAsia="zh-CN"/>
        </w:rPr>
        <w:t>合格</w:t>
      </w:r>
      <w:r>
        <w:rPr>
          <w:rFonts w:hint="eastAsia" w:ascii="仿宋" w:eastAsia="仿宋" w:cs="仿宋"/>
          <w:vanish w:val="0"/>
          <w:kern w:val="2"/>
          <w:sz w:val="32"/>
          <w:szCs w:val="32"/>
        </w:rPr>
        <w:t>的市场主体，不再列入当年度抽查名单;对投诉举报多、列入经营异常名录或有严重违法违规记录等情况，加大随机抽查比例和频次</w:t>
      </w:r>
      <w:r>
        <w:rPr>
          <w:rFonts w:hint="eastAsia" w:ascii="仿宋" w:eastAsia="仿宋" w:cs="仿宋"/>
          <w:vanish w:val="0"/>
          <w:kern w:val="2"/>
          <w:sz w:val="32"/>
          <w:szCs w:val="32"/>
          <w:lang w:eastAsia="zh-CN"/>
        </w:rPr>
        <w:t>；三是</w:t>
      </w:r>
      <w:r>
        <w:rPr>
          <w:rFonts w:hint="eastAsia" w:ascii="仿宋" w:eastAsia="仿宋" w:cs="仿宋"/>
          <w:vanish w:val="0"/>
          <w:kern w:val="2"/>
          <w:sz w:val="32"/>
          <w:szCs w:val="32"/>
        </w:rPr>
        <w:t>合理选择检查方式。抽查可以采用实地检查、书面检查和网络监测等方式</w:t>
      </w:r>
      <w:r>
        <w:rPr>
          <w:rFonts w:hint="eastAsia" w:ascii="仿宋" w:eastAsia="仿宋" w:cs="仿宋"/>
          <w:vanish w:val="0"/>
          <w:kern w:val="2"/>
          <w:sz w:val="32"/>
          <w:szCs w:val="32"/>
          <w:lang w:eastAsia="zh-CN"/>
        </w:rPr>
        <w:t>；四是</w:t>
      </w:r>
      <w:r>
        <w:rPr>
          <w:rFonts w:hint="eastAsia" w:ascii="仿宋" w:eastAsia="仿宋" w:cs="仿宋"/>
          <w:vanish w:val="0"/>
          <w:kern w:val="2"/>
          <w:sz w:val="32"/>
          <w:szCs w:val="32"/>
        </w:rPr>
        <w:t>对抽查发现的违法违规行为，依法依规处理，形成有效震慑，增强市场主体守法的自觉性</w:t>
      </w:r>
      <w:r>
        <w:rPr>
          <w:rFonts w:hint="eastAsia" w:ascii="仿宋" w:eastAsia="仿宋" w:cs="仿宋"/>
          <w:vanish w:val="0"/>
          <w:kern w:val="2"/>
          <w:sz w:val="32"/>
          <w:szCs w:val="32"/>
          <w:lang w:eastAsia="zh-CN"/>
        </w:rPr>
        <w:t>；五是及时</w:t>
      </w:r>
      <w:r>
        <w:rPr>
          <w:rFonts w:hint="eastAsia" w:ascii="仿宋" w:eastAsia="仿宋" w:cs="仿宋"/>
          <w:vanish w:val="0"/>
          <w:kern w:val="2"/>
          <w:sz w:val="32"/>
          <w:szCs w:val="32"/>
        </w:rPr>
        <w:t>将抽查情况及查处结果录入在被抽查市场主体的公示信息中，向社会公示，接受社会监督。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ind w:right="0" w:firstLine="640" w:firstLineChars="200"/>
        <w:rPr>
          <w:rFonts w:hint="eastAsia" w:ascii="宋体" w:eastAsia="宋体"/>
          <w:vanish w:val="0"/>
          <w:kern w:val="2"/>
          <w:sz w:val="28"/>
          <w:szCs w:val="28"/>
        </w:rPr>
      </w:pPr>
      <w:r>
        <w:rPr>
          <w:rFonts w:hint="eastAsia" w:ascii="黑体" w:hAnsi="黑体" w:eastAsia="黑体" w:cs="黑体"/>
          <w:b w:val="0"/>
          <w:bCs w:val="0"/>
          <w:snapToGrid/>
          <w:vanish w:val="0"/>
          <w:color w:val="auto"/>
          <w:spacing w:val="0"/>
          <w:w w:val="100"/>
          <w:kern w:val="2"/>
          <w:position w:val="0"/>
          <w:sz w:val="32"/>
          <w:szCs w:val="32"/>
          <w:u w:val="none" w:color="auto"/>
          <w:shd w:val="clear" w:color="auto" w:fill="auto"/>
          <w:vertAlign w:val="baseline"/>
          <w:lang w:val="en-US" w:eastAsia="zh-CN" w:bidi="ar-SA"/>
        </w:rPr>
        <w:t>五、工作要求</w:t>
      </w:r>
      <w:r>
        <w:rPr>
          <w:rFonts w:hint="eastAsia" w:ascii="宋体" w:eastAsia="宋体" w:cs="宋体"/>
          <w:b/>
          <w:bCs/>
          <w:vanish w:val="0"/>
          <w:kern w:val="2"/>
          <w:sz w:val="32"/>
          <w:szCs w:val="32"/>
        </w:rPr>
        <w:t xml:space="preserve"> </w:t>
      </w:r>
      <w:r>
        <w:rPr>
          <w:rFonts w:hint="eastAsia" w:ascii="宋体" w:eastAsia="宋体"/>
          <w:vanish w:val="0"/>
          <w:kern w:val="2"/>
          <w:sz w:val="28"/>
          <w:szCs w:val="28"/>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ind w:right="0" w:firstLine="640" w:firstLineChars="200"/>
        <w:rPr>
          <w:rFonts w:hint="eastAsia" w:ascii="仿宋" w:eastAsia="仿宋" w:cs="仿宋"/>
          <w:vanish w:val="0"/>
          <w:kern w:val="2"/>
          <w:sz w:val="32"/>
          <w:szCs w:val="32"/>
          <w:lang w:eastAsia="zh-CN"/>
        </w:rPr>
      </w:pPr>
      <w:r>
        <w:rPr>
          <w:rFonts w:hint="eastAsia" w:ascii="仿宋" w:eastAsia="仿宋" w:cs="仿宋"/>
          <w:vanish w:val="0"/>
          <w:kern w:val="2"/>
          <w:sz w:val="32"/>
          <w:szCs w:val="32"/>
          <w:lang w:eastAsia="zh-CN"/>
        </w:rPr>
        <w:t>一是</w:t>
      </w:r>
      <w:r>
        <w:rPr>
          <w:rFonts w:hint="eastAsia" w:ascii="仿宋" w:eastAsia="仿宋" w:cs="仿宋"/>
          <w:vanish w:val="0"/>
          <w:kern w:val="2"/>
          <w:sz w:val="32"/>
          <w:szCs w:val="32"/>
        </w:rPr>
        <w:t>加强组织领导。建立健全相应工作机制，充实并合理调配一线执法检查力量，切实把“双随机”抽查监管落到实处</w:t>
      </w:r>
      <w:r>
        <w:rPr>
          <w:rFonts w:hint="eastAsia" w:ascii="仿宋" w:eastAsia="仿宋" w:cs="仿宋"/>
          <w:vanish w:val="0"/>
          <w:kern w:val="2"/>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ind w:left="0" w:right="0"/>
        <w:rPr>
          <w:rFonts w:hint="eastAsia" w:ascii="仿宋" w:eastAsia="仿宋" w:cs="仿宋"/>
          <w:vanish w:val="0"/>
          <w:kern w:val="2"/>
          <w:sz w:val="32"/>
          <w:szCs w:val="32"/>
        </w:rPr>
      </w:pPr>
      <w:r>
        <w:rPr>
          <w:rFonts w:hint="eastAsia" w:ascii="仿宋" w:eastAsia="仿宋" w:cs="仿宋"/>
          <w:vanish w:val="0"/>
          <w:kern w:val="2"/>
          <w:sz w:val="32"/>
          <w:szCs w:val="32"/>
        </w:rPr>
        <w:t xml:space="preserve"> </w:t>
      </w:r>
      <w:r>
        <w:rPr>
          <w:rFonts w:hint="eastAsia" w:ascii="仿宋" w:eastAsia="仿宋" w:cs="仿宋"/>
          <w:vanish w:val="0"/>
          <w:kern w:val="2"/>
          <w:sz w:val="32"/>
          <w:szCs w:val="32"/>
          <w:lang w:eastAsia="zh-CN"/>
        </w:rPr>
        <w:t>二是</w:t>
      </w:r>
      <w:r>
        <w:rPr>
          <w:rFonts w:hint="eastAsia" w:ascii="仿宋" w:eastAsia="仿宋" w:cs="仿宋"/>
          <w:vanish w:val="0"/>
          <w:kern w:val="2"/>
          <w:sz w:val="32"/>
          <w:szCs w:val="32"/>
        </w:rPr>
        <w:t>增强责任意识，大力推广“双随机</w:t>
      </w:r>
      <w:r>
        <w:rPr>
          <w:rFonts w:hint="eastAsia" w:ascii="仿宋" w:eastAsia="仿宋" w:cs="仿宋"/>
          <w:vanish w:val="0"/>
          <w:kern w:val="2"/>
          <w:sz w:val="32"/>
          <w:szCs w:val="32"/>
          <w:lang w:eastAsia="zh-CN"/>
        </w:rPr>
        <w:t>、一公开</w:t>
      </w:r>
      <w:r>
        <w:rPr>
          <w:rFonts w:hint="eastAsia" w:ascii="仿宋" w:eastAsia="仿宋" w:cs="仿宋"/>
          <w:vanish w:val="0"/>
          <w:kern w:val="2"/>
          <w:sz w:val="32"/>
          <w:szCs w:val="32"/>
        </w:rPr>
        <w:t>”抽查，公平、有效、透明地进行事中事后监管，切实履行法定监管职责</w:t>
      </w:r>
      <w:r>
        <w:rPr>
          <w:rFonts w:hint="eastAsia" w:ascii="仿宋" w:eastAsia="仿宋" w:cs="仿宋"/>
          <w:vanish w:val="0"/>
          <w:kern w:val="2"/>
          <w:sz w:val="32"/>
          <w:szCs w:val="32"/>
          <w:lang w:eastAsia="zh-CN"/>
        </w:rPr>
        <w:t>；三是</w:t>
      </w:r>
      <w:r>
        <w:rPr>
          <w:rFonts w:hint="eastAsia" w:ascii="仿宋" w:eastAsia="仿宋" w:cs="仿宋"/>
          <w:vanish w:val="0"/>
          <w:kern w:val="2"/>
          <w:sz w:val="32"/>
          <w:szCs w:val="32"/>
        </w:rPr>
        <w:t>严格抽查纪律。监管部门及其工作人员对被抽取的市场主体实施检查时，不得妨碍市场主体正常的生产经营活动，不得索取或收受市场主体的财物，不得谋取其他利益。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ind w:left="0" w:right="0" w:firstLine="284"/>
        <w:jc w:val="left"/>
        <w:rPr>
          <w:rFonts w:hint="eastAsia" w:ascii="宋体" w:eastAsia="宋体"/>
          <w:vanish w:val="0"/>
          <w:kern w:val="2"/>
          <w:sz w:val="28"/>
          <w:szCs w:val="28"/>
        </w:rPr>
      </w:pPr>
    </w:p>
    <w:p>
      <w:pPr>
        <w:tabs>
          <w:tab w:val="left" w:pos="5354"/>
        </w:tabs>
        <w:ind w:firstLine="4800" w:firstLineChars="1500"/>
        <w:jc w:val="left"/>
        <w:rPr>
          <w:rFonts w:hint="eastAsia" w:ascii="仿宋" w:eastAsia="仿宋" w:cs="仿宋"/>
          <w:snapToGrid/>
          <w:color w:val="auto"/>
          <w:spacing w:val="0"/>
          <w:w w:val="100"/>
          <w:kern w:val="2"/>
          <w:position w:val="0"/>
          <w:sz w:val="32"/>
          <w:szCs w:val="32"/>
          <w:u w:val="none" w:color="auto"/>
          <w:shd w:val="clear" w:color="auto" w:fill="auto"/>
          <w:vertAlign w:val="baseline"/>
          <w:lang w:val="en-US" w:eastAsia="zh-CN" w:bidi="ar-SA"/>
        </w:rPr>
      </w:pPr>
    </w:p>
    <w:sectPr>
      <w:pgSz w:w="11907" w:h="16839"/>
      <w:pgMar w:top="1440" w:right="1633" w:bottom="1440" w:left="1633"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2012AD9"/>
    <w:rsid w:val="05D866C2"/>
    <w:rsid w:val="083D692B"/>
    <w:rsid w:val="0B475629"/>
    <w:rsid w:val="162F64EA"/>
    <w:rsid w:val="24DD0F36"/>
    <w:rsid w:val="273709FB"/>
    <w:rsid w:val="2C893D38"/>
    <w:rsid w:val="30E27F1E"/>
    <w:rsid w:val="343B5726"/>
    <w:rsid w:val="346C22BD"/>
    <w:rsid w:val="34E869E7"/>
    <w:rsid w:val="35474AB0"/>
    <w:rsid w:val="36467632"/>
    <w:rsid w:val="379A43B5"/>
    <w:rsid w:val="38D0113F"/>
    <w:rsid w:val="3F583DAB"/>
    <w:rsid w:val="41B34512"/>
    <w:rsid w:val="4A7B501F"/>
    <w:rsid w:val="522A773D"/>
    <w:rsid w:val="553C0DF9"/>
    <w:rsid w:val="5B3B344E"/>
    <w:rsid w:val="5C4F60CE"/>
    <w:rsid w:val="5E5C09A2"/>
    <w:rsid w:val="61286EFA"/>
    <w:rsid w:val="69334B70"/>
    <w:rsid w:val="6AE925DD"/>
    <w:rsid w:val="6F1668B5"/>
    <w:rsid w:val="71BE3E37"/>
    <w:rsid w:val="734A3F4F"/>
    <w:rsid w:val="7E7216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rPr>
      <w:rFonts w:ascii="仿宋" w:eastAsia="仿宋"/>
    </w:rPr>
  </w:style>
  <w:style w:type="paragraph" w:styleId="6">
    <w:name w:val="Normal (Web)"/>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Pages>
  <Words>2390</Words>
  <Characters>2409</Characters>
  <Lines>107</Lines>
  <Paragraphs>33</Paragraphs>
  <TotalTime>2</TotalTime>
  <ScaleCrop>false</ScaleCrop>
  <LinksUpToDate>false</LinksUpToDate>
  <CharactersWithSpaces>2442</CharactersWithSpaces>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2018-04-12T09:13:00Z</dcterms:created>
  <dc:creator>Microsoft</dc:creator>
  <cp:lastModifiedBy>湘南豹</cp:lastModifiedBy>
  <cp:lastPrinted>2018-11-02T08:37:00Z</cp:lastPrinted>
  <dcterms:modified xsi:type="dcterms:W3CDTF">2019-11-12T03:02:36Z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